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63023F" w:rsidRPr="003105B0" w:rsidRDefault="005E56E0" w:rsidP="0063023F">
      <w:pPr>
        <w:spacing w:after="0"/>
        <w:jc w:val="center"/>
        <w:rPr>
          <w:rFonts w:cs="Calibri"/>
          <w:bCs/>
          <w:sz w:val="48"/>
          <w:szCs w:val="48"/>
        </w:rPr>
      </w:pPr>
      <w:r>
        <w:rPr>
          <w:rFonts w:cs="Calibri"/>
          <w:bCs/>
          <w:sz w:val="48"/>
          <w:szCs w:val="48"/>
        </w:rPr>
        <w:t>Podbudowy z kruszywa stabilizowanego mechanicznie</w:t>
      </w:r>
    </w:p>
    <w:p w:rsidR="0063023F" w:rsidRPr="003105B0" w:rsidRDefault="00664B1C" w:rsidP="0063023F">
      <w:pPr>
        <w:spacing w:after="0"/>
        <w:jc w:val="center"/>
        <w:rPr>
          <w:rFonts w:cs="Calibri"/>
          <w:bCs/>
          <w:sz w:val="48"/>
          <w:szCs w:val="48"/>
        </w:rPr>
      </w:pPr>
      <w:r>
        <w:rPr>
          <w:rFonts w:cs="Calibri"/>
          <w:bCs/>
          <w:sz w:val="48"/>
          <w:szCs w:val="48"/>
        </w:rPr>
        <w:t>ST 0</w:t>
      </w:r>
      <w:r w:rsidR="009A5E2B">
        <w:rPr>
          <w:rFonts w:cs="Calibri"/>
          <w:bCs/>
          <w:sz w:val="48"/>
          <w:szCs w:val="48"/>
        </w:rPr>
        <w:t>1</w:t>
      </w:r>
      <w:r>
        <w:rPr>
          <w:rFonts w:cs="Calibri"/>
          <w:bCs/>
          <w:sz w:val="48"/>
          <w:szCs w:val="48"/>
        </w:rPr>
        <w:t>.</w:t>
      </w:r>
      <w:r w:rsidR="006E7003">
        <w:rPr>
          <w:rFonts w:cs="Calibri"/>
          <w:bCs/>
          <w:sz w:val="48"/>
          <w:szCs w:val="48"/>
        </w:rPr>
        <w:t>1</w:t>
      </w:r>
      <w:r w:rsidR="00056020">
        <w:rPr>
          <w:rFonts w:cs="Calibri"/>
          <w:bCs/>
          <w:sz w:val="48"/>
          <w:szCs w:val="48"/>
        </w:rPr>
        <w:t>4</w:t>
      </w:r>
    </w:p>
    <w:p w:rsidR="0063023F" w:rsidRPr="003105B0" w:rsidRDefault="0063023F" w:rsidP="003E718D">
      <w:pPr>
        <w:pStyle w:val="Akapitzlist"/>
        <w:numPr>
          <w:ilvl w:val="0"/>
          <w:numId w:val="18"/>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3E718D">
      <w:pPr>
        <w:pStyle w:val="Akapitzlist"/>
        <w:numPr>
          <w:ilvl w:val="1"/>
          <w:numId w:val="18"/>
        </w:numPr>
        <w:spacing w:after="0"/>
        <w:jc w:val="both"/>
        <w:rPr>
          <w:rFonts w:cs="Calibri"/>
          <w:b/>
          <w:bCs/>
        </w:rPr>
      </w:pPr>
      <w:r w:rsidRPr="003105B0">
        <w:rPr>
          <w:rFonts w:cs="Calibri"/>
          <w:b/>
          <w:bCs/>
        </w:rPr>
        <w:t>Przedmiot specyfikacji</w:t>
      </w:r>
    </w:p>
    <w:p w:rsidR="003237D3" w:rsidRDefault="0063023F" w:rsidP="003237D3">
      <w:pPr>
        <w:spacing w:after="0"/>
        <w:jc w:val="both"/>
        <w:rPr>
          <w:rFonts w:cs="Calibri"/>
        </w:rPr>
      </w:pPr>
      <w:r w:rsidRPr="003105B0">
        <w:rPr>
          <w:rFonts w:cs="Calibri"/>
          <w:bCs/>
        </w:rPr>
        <w:t>Niniejszy tom specyfikacji obejmuje wymagania wykonania i odbioru robót</w:t>
      </w:r>
      <w:r w:rsidR="006924D2">
        <w:rPr>
          <w:rFonts w:cs="Calibri"/>
          <w:bCs/>
        </w:rPr>
        <w:t xml:space="preserve"> </w:t>
      </w:r>
      <w:r w:rsidR="005E56E0">
        <w:rPr>
          <w:rFonts w:cs="Calibri"/>
          <w:bCs/>
        </w:rPr>
        <w:t xml:space="preserve">związanych z wykonaniem podbudowy pod </w:t>
      </w:r>
      <w:r w:rsidR="00424C78">
        <w:rPr>
          <w:rFonts w:cs="Calibri"/>
          <w:bCs/>
        </w:rPr>
        <w:t>nawierzchnie chodników</w:t>
      </w:r>
      <w:r w:rsidR="00952D82">
        <w:rPr>
          <w:rFonts w:cs="Calibri"/>
          <w:bCs/>
        </w:rPr>
        <w:t xml:space="preserve"> dla </w:t>
      </w:r>
      <w:r w:rsidR="00664B1C">
        <w:rPr>
          <w:rFonts w:cs="Calibri"/>
          <w:bCs/>
        </w:rPr>
        <w:t xml:space="preserve">inwestycji </w:t>
      </w:r>
      <w:r w:rsidR="00954653" w:rsidRPr="00954653">
        <w:rPr>
          <w:rFonts w:cs="Calibri"/>
        </w:rPr>
        <w:t>Rozbudowa i przebudowa wejścia C budynku Starostwa w Ożarowie Mazowieckim w ramach zadania inwestycyjnego "Budowa szybu windowego wraz z rozbudową wejścia C budynku Starostwa", ul. Poznańska 129/133, Ożarów Mazowiecki</w:t>
      </w:r>
      <w:r w:rsidR="0032704B" w:rsidRPr="0032704B">
        <w:rPr>
          <w:rFonts w:cs="Calibri"/>
        </w:rPr>
        <w:t>.</w:t>
      </w:r>
    </w:p>
    <w:p w:rsidR="003E2CE8" w:rsidRDefault="003E2CE8" w:rsidP="003E2CE8">
      <w:pPr>
        <w:spacing w:after="0"/>
        <w:ind w:firstLine="360"/>
        <w:jc w:val="both"/>
        <w:rPr>
          <w:rFonts w:cs="Calibri"/>
          <w:b/>
          <w:bCs/>
        </w:rPr>
      </w:pPr>
      <w:r w:rsidRPr="0074498D">
        <w:rPr>
          <w:rFonts w:cs="Calibri"/>
          <w:b/>
          <w:bCs/>
        </w:rPr>
        <w:t>Klasyfikacja robót wg Wspólnego Słownika Zamówień (CPV).</w:t>
      </w:r>
    </w:p>
    <w:p w:rsidR="003E2CE8" w:rsidRDefault="00523232" w:rsidP="003E2CE8">
      <w:pPr>
        <w:spacing w:after="0"/>
        <w:jc w:val="both"/>
        <w:rPr>
          <w:rFonts w:cs="Calibri"/>
          <w:bCs/>
        </w:rPr>
      </w:pPr>
      <w:r w:rsidRPr="00523232">
        <w:rPr>
          <w:rFonts w:cs="Calibri"/>
          <w:bCs/>
        </w:rPr>
        <w:t>45112720-8 Roboty w zakresie kształtowania terenów sportowych i rekreacyjnych</w:t>
      </w:r>
    </w:p>
    <w:p w:rsidR="0063023F" w:rsidRDefault="003E2CE8" w:rsidP="003E718D">
      <w:pPr>
        <w:pStyle w:val="Akapitzlist"/>
        <w:numPr>
          <w:ilvl w:val="1"/>
          <w:numId w:val="18"/>
        </w:numPr>
        <w:spacing w:after="0"/>
        <w:jc w:val="both"/>
        <w:rPr>
          <w:rFonts w:cs="Calibri"/>
          <w:b/>
          <w:bCs/>
        </w:rPr>
      </w:pPr>
      <w:r>
        <w:rPr>
          <w:rFonts w:cs="Calibri"/>
          <w:b/>
          <w:bCs/>
        </w:rPr>
        <w:t>Zakres stosowania specyfikacji</w:t>
      </w:r>
    </w:p>
    <w:p w:rsidR="003E2CE8" w:rsidRPr="003E2CE8" w:rsidRDefault="003E2CE8" w:rsidP="003E2CE8">
      <w:pPr>
        <w:spacing w:after="0"/>
        <w:jc w:val="both"/>
        <w:rPr>
          <w:rFonts w:cs="Calibri"/>
          <w:bCs/>
        </w:rPr>
      </w:pPr>
      <w:r w:rsidRPr="003E2CE8">
        <w:rPr>
          <w:rFonts w:cs="Calibri"/>
          <w:bCs/>
        </w:rPr>
        <w:t>Szczegółowa specyfikacja techniczna jest stosowana  jako dokument pod Zamówienie Publiczne przy zlecaniu i realizacji robót wymienionych w pkt. 1.1.</w:t>
      </w:r>
    </w:p>
    <w:p w:rsidR="003E2CE8" w:rsidRDefault="003E2CE8" w:rsidP="003E2CE8">
      <w:pPr>
        <w:pStyle w:val="Akapitzlist"/>
        <w:numPr>
          <w:ilvl w:val="1"/>
          <w:numId w:val="18"/>
        </w:numPr>
        <w:spacing w:after="0"/>
        <w:jc w:val="both"/>
        <w:rPr>
          <w:rFonts w:cs="Calibri"/>
          <w:b/>
          <w:bCs/>
        </w:rPr>
      </w:pPr>
      <w:r>
        <w:rPr>
          <w:rFonts w:cs="Calibri"/>
          <w:b/>
          <w:bCs/>
        </w:rPr>
        <w:t>Określenia podstawowe</w:t>
      </w:r>
    </w:p>
    <w:p w:rsidR="003E2CE8" w:rsidRPr="003E2CE8" w:rsidRDefault="00952D82" w:rsidP="00952D82">
      <w:pPr>
        <w:spacing w:after="0"/>
        <w:jc w:val="both"/>
        <w:rPr>
          <w:rFonts w:cs="Calibri"/>
          <w:bCs/>
        </w:rPr>
      </w:pPr>
      <w:r w:rsidRPr="00952D82">
        <w:rPr>
          <w:rFonts w:cs="Calibri"/>
          <w:bCs/>
        </w:rPr>
        <w:t>Określenia podstawowe są zgodne z obowiązującymi, odpowiednimi polskimi normami i</w:t>
      </w:r>
      <w:r>
        <w:rPr>
          <w:rFonts w:cs="Calibri"/>
          <w:bCs/>
        </w:rPr>
        <w:t xml:space="preserve"> </w:t>
      </w:r>
      <w:r w:rsidRPr="00952D82">
        <w:rPr>
          <w:rFonts w:cs="Calibri"/>
          <w:bCs/>
        </w:rPr>
        <w:t>definicjami podanymi w ST</w:t>
      </w:r>
      <w:r>
        <w:rPr>
          <w:rFonts w:cs="Calibri"/>
          <w:bCs/>
        </w:rPr>
        <w:t xml:space="preserve"> 00.01</w:t>
      </w:r>
    </w:p>
    <w:p w:rsidR="003E2CE8" w:rsidRPr="004E6231" w:rsidRDefault="003E2CE8" w:rsidP="003E2CE8">
      <w:pPr>
        <w:pStyle w:val="Akapitzlist"/>
        <w:numPr>
          <w:ilvl w:val="1"/>
          <w:numId w:val="18"/>
        </w:numPr>
        <w:spacing w:after="0"/>
        <w:jc w:val="both"/>
        <w:rPr>
          <w:rFonts w:cs="Calibri"/>
          <w:b/>
          <w:bCs/>
        </w:rPr>
      </w:pPr>
      <w:r w:rsidRPr="004E6231">
        <w:rPr>
          <w:rFonts w:cs="Calibri"/>
          <w:b/>
          <w:bCs/>
        </w:rPr>
        <w:t>Zakres robót objętych specyfikacją</w:t>
      </w:r>
    </w:p>
    <w:p w:rsidR="008D3914" w:rsidRPr="00952D82" w:rsidRDefault="00952D82" w:rsidP="00952D82">
      <w:pPr>
        <w:spacing w:after="0"/>
        <w:jc w:val="both"/>
        <w:rPr>
          <w:rFonts w:cs="Calibri"/>
        </w:rPr>
      </w:pPr>
      <w:r w:rsidRPr="00952D82">
        <w:rPr>
          <w:rFonts w:cs="Calibri"/>
        </w:rPr>
        <w:t>Ustalenia zawarte w niniejszej specyfikacji dotyczą zasad prowadzenia robót związanych z</w:t>
      </w:r>
      <w:r>
        <w:rPr>
          <w:rFonts w:cs="Calibri"/>
        </w:rPr>
        <w:t xml:space="preserve"> </w:t>
      </w:r>
      <w:r w:rsidRPr="00952D82">
        <w:rPr>
          <w:rFonts w:cs="Calibri"/>
        </w:rPr>
        <w:t xml:space="preserve">wykonaniem </w:t>
      </w:r>
      <w:r w:rsidR="003D5F37">
        <w:rPr>
          <w:rFonts w:cs="Calibri"/>
        </w:rPr>
        <w:t>podbudowy jako warstwy nośnej</w:t>
      </w:r>
      <w:r>
        <w:rPr>
          <w:rFonts w:cs="Calibri"/>
        </w:rPr>
        <w:t xml:space="preserve"> nawierzchni</w:t>
      </w:r>
      <w:r w:rsidR="00BF4067">
        <w:rPr>
          <w:rFonts w:cs="Calibri"/>
        </w:rPr>
        <w:t xml:space="preserve"> </w:t>
      </w:r>
      <w:r w:rsidR="009A5E2B">
        <w:rPr>
          <w:rFonts w:cs="Calibri"/>
        </w:rPr>
        <w:t>sportowych i utwardzonych</w:t>
      </w:r>
      <w:r>
        <w:rPr>
          <w:rFonts w:cs="Calibri"/>
        </w:rPr>
        <w:t>.</w:t>
      </w:r>
    </w:p>
    <w:p w:rsidR="003E2CE8" w:rsidRDefault="003E2CE8" w:rsidP="003E2CE8">
      <w:pPr>
        <w:pStyle w:val="Akapitzlist"/>
        <w:numPr>
          <w:ilvl w:val="1"/>
          <w:numId w:val="18"/>
        </w:numPr>
        <w:spacing w:after="0"/>
        <w:jc w:val="both"/>
        <w:rPr>
          <w:rFonts w:cs="Calibri"/>
          <w:b/>
          <w:bCs/>
        </w:rPr>
      </w:pPr>
      <w:r w:rsidRPr="003E2CE8">
        <w:rPr>
          <w:rFonts w:cs="Calibri"/>
          <w:b/>
          <w:bCs/>
        </w:rPr>
        <w:t>Ogólne wymagania dotyczące robót</w:t>
      </w:r>
    </w:p>
    <w:p w:rsidR="003E2CE8" w:rsidRDefault="003E2CE8" w:rsidP="003E2CE8">
      <w:pPr>
        <w:spacing w:after="0"/>
        <w:jc w:val="both"/>
        <w:rPr>
          <w:rFonts w:cs="Calibri"/>
          <w:bCs/>
        </w:rPr>
      </w:pPr>
      <w:r w:rsidRPr="00B24A08">
        <w:rPr>
          <w:rFonts w:cs="Calibri"/>
          <w:bCs/>
        </w:rPr>
        <w:t xml:space="preserve">Wykonawca robót jest odpowiedzialny za jakość wykonania robót, ich zgodność z dokumentacją projektową, SST i poleceniami Inspektora Nadzoru. Ogólne wymagania dotyczące robót podano w „Wymaganiach ogólnych” </w:t>
      </w:r>
      <w:r w:rsidR="00B24A08">
        <w:rPr>
          <w:rFonts w:cs="Calibri"/>
          <w:bCs/>
        </w:rPr>
        <w:t>Specyfikacji 00.01.</w:t>
      </w:r>
    </w:p>
    <w:p w:rsidR="003D5F37" w:rsidRPr="003D5F37" w:rsidRDefault="003D5F37" w:rsidP="003D5F37">
      <w:pPr>
        <w:pStyle w:val="Akapitzlist"/>
        <w:numPr>
          <w:ilvl w:val="1"/>
          <w:numId w:val="18"/>
        </w:numPr>
        <w:spacing w:after="0"/>
        <w:jc w:val="both"/>
        <w:rPr>
          <w:rFonts w:cs="Calibri"/>
          <w:b/>
          <w:bCs/>
        </w:rPr>
      </w:pPr>
      <w:r w:rsidRPr="003D5F37">
        <w:rPr>
          <w:rFonts w:cs="Calibri"/>
          <w:b/>
          <w:bCs/>
        </w:rPr>
        <w:t>Określenia podstawowe</w:t>
      </w:r>
    </w:p>
    <w:p w:rsidR="003D5F37" w:rsidRPr="003D5F37" w:rsidRDefault="003D5F37" w:rsidP="003D5F37">
      <w:pPr>
        <w:spacing w:after="0"/>
        <w:jc w:val="both"/>
        <w:rPr>
          <w:rFonts w:cs="Calibri"/>
          <w:bCs/>
        </w:rPr>
      </w:pPr>
      <w:r w:rsidRPr="003D5F37">
        <w:rPr>
          <w:rFonts w:cs="Calibri"/>
          <w:bCs/>
        </w:rPr>
        <w:t>Stabilizacja mechaniczna - proces technologiczny, polegający na odpowiednim zagęszczeniu w optymalnej wilgotności kruszywa o właściwie dobranym uziarnieniu.</w:t>
      </w:r>
    </w:p>
    <w:p w:rsidR="003D5F37" w:rsidRPr="003D5F37" w:rsidRDefault="003D5F37" w:rsidP="003D5F37">
      <w:pPr>
        <w:spacing w:after="0"/>
        <w:jc w:val="both"/>
        <w:rPr>
          <w:rFonts w:cs="Calibri"/>
          <w:bCs/>
        </w:rPr>
      </w:pPr>
      <w:r w:rsidRPr="003D5F37">
        <w:rPr>
          <w:rFonts w:cs="Calibri"/>
          <w:bCs/>
        </w:rPr>
        <w:t>Podbudowa z kruszywa stabilizowanego mechanicznie - jedna lub więcej</w:t>
      </w:r>
      <w:r w:rsidR="00664B1C">
        <w:rPr>
          <w:rFonts w:cs="Calibri"/>
          <w:bCs/>
        </w:rPr>
        <w:t xml:space="preserve"> </w:t>
      </w:r>
      <w:r w:rsidRPr="003D5F37">
        <w:rPr>
          <w:rFonts w:cs="Calibri"/>
          <w:bCs/>
        </w:rPr>
        <w:t>warstw zagęszczonej mieszanki, która stanowi warstwę nośną nawierzchni drogowej.</w:t>
      </w:r>
    </w:p>
    <w:p w:rsidR="003D5F37" w:rsidRDefault="003D5F37" w:rsidP="003D5F37">
      <w:pPr>
        <w:spacing w:after="0"/>
        <w:jc w:val="both"/>
        <w:rPr>
          <w:rFonts w:cs="Calibri"/>
          <w:bCs/>
        </w:rPr>
      </w:pPr>
      <w:r w:rsidRPr="003D5F37">
        <w:rPr>
          <w:rFonts w:cs="Calibri"/>
          <w:bCs/>
        </w:rPr>
        <w:t xml:space="preserve">Pozostałe określenia podstawowe są zgodne z obowiązującymi, odpowiednimi polskimi normami oraz z definicjami podanymi w ST </w:t>
      </w:r>
      <w:r>
        <w:rPr>
          <w:rFonts w:cs="Calibri"/>
          <w:bCs/>
        </w:rPr>
        <w:t>00.01</w:t>
      </w:r>
      <w:r w:rsidRPr="003D5F37">
        <w:rPr>
          <w:rFonts w:cs="Calibri"/>
          <w:bCs/>
        </w:rPr>
        <w:t xml:space="preserve"> „Wymagania ogólne”</w:t>
      </w:r>
      <w:r>
        <w:rPr>
          <w:rFonts w:cs="Calibri"/>
          <w:bCs/>
        </w:rPr>
        <w:t>.</w:t>
      </w:r>
    </w:p>
    <w:p w:rsidR="003D5F37" w:rsidRDefault="003D5F37" w:rsidP="003D5F37">
      <w:pPr>
        <w:spacing w:after="0"/>
        <w:jc w:val="both"/>
        <w:rPr>
          <w:rFonts w:cs="Calibri"/>
          <w:bCs/>
        </w:rPr>
      </w:pPr>
    </w:p>
    <w:p w:rsidR="00B24A08" w:rsidRDefault="00B24A08" w:rsidP="003D5F37">
      <w:pPr>
        <w:pStyle w:val="Akapitzlist"/>
        <w:numPr>
          <w:ilvl w:val="0"/>
          <w:numId w:val="18"/>
        </w:numPr>
        <w:spacing w:after="0"/>
        <w:jc w:val="both"/>
        <w:rPr>
          <w:rFonts w:cs="Calibri"/>
          <w:b/>
          <w:bCs/>
        </w:rPr>
      </w:pPr>
      <w:r w:rsidRPr="00B24A08">
        <w:rPr>
          <w:rFonts w:cs="Calibri"/>
          <w:b/>
          <w:bCs/>
        </w:rPr>
        <w:t>MATERIAŁY</w:t>
      </w:r>
    </w:p>
    <w:p w:rsidR="003D5F37" w:rsidRPr="003D5F37" w:rsidRDefault="003D5F37" w:rsidP="003D5F37">
      <w:pPr>
        <w:pStyle w:val="Nagwek2"/>
        <w:overflowPunct w:val="0"/>
        <w:autoSpaceDE w:val="0"/>
        <w:autoSpaceDN w:val="0"/>
        <w:adjustRightInd w:val="0"/>
        <w:spacing w:before="0" w:after="0" w:line="276" w:lineRule="auto"/>
        <w:textAlignment w:val="baseline"/>
        <w:rPr>
          <w:rFonts w:asciiTheme="minorHAnsi" w:hAnsiTheme="minorHAnsi"/>
          <w:sz w:val="22"/>
          <w:szCs w:val="22"/>
        </w:rPr>
      </w:pPr>
      <w:r w:rsidRPr="003D5F37">
        <w:rPr>
          <w:rFonts w:asciiTheme="minorHAnsi" w:hAnsiTheme="minorHAnsi"/>
          <w:sz w:val="22"/>
          <w:szCs w:val="22"/>
        </w:rPr>
        <w:t>Ogólne wymagania dotyczące materiałów</w:t>
      </w:r>
    </w:p>
    <w:p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sz w:val="22"/>
          <w:szCs w:val="22"/>
        </w:rPr>
        <w:t xml:space="preserve">Ogólne wymagania dotyczące materiałów, ich pozyskiwania i składowania, podano w ST </w:t>
      </w:r>
      <w:r>
        <w:rPr>
          <w:rFonts w:asciiTheme="minorHAnsi" w:hAnsiTheme="minorHAnsi"/>
          <w:sz w:val="22"/>
          <w:szCs w:val="22"/>
        </w:rPr>
        <w:t>00.01</w:t>
      </w:r>
      <w:r w:rsidRPr="003D5F37">
        <w:rPr>
          <w:rFonts w:asciiTheme="minorHAnsi" w:hAnsiTheme="minorHAnsi"/>
          <w:sz w:val="22"/>
          <w:szCs w:val="22"/>
        </w:rPr>
        <w:t xml:space="preserve"> „Wymagania ogólne”.</w:t>
      </w:r>
      <w:bookmarkStart w:id="0" w:name="_GoBack"/>
      <w:bookmarkEnd w:id="0"/>
    </w:p>
    <w:p w:rsidR="003D5F37" w:rsidRPr="003D5F37" w:rsidRDefault="003D5F37" w:rsidP="003D5F37">
      <w:pPr>
        <w:pStyle w:val="Nagwek2"/>
        <w:overflowPunct w:val="0"/>
        <w:autoSpaceDE w:val="0"/>
        <w:autoSpaceDN w:val="0"/>
        <w:adjustRightInd w:val="0"/>
        <w:spacing w:before="0" w:after="0" w:line="276" w:lineRule="auto"/>
        <w:textAlignment w:val="baseline"/>
        <w:rPr>
          <w:rFonts w:asciiTheme="minorHAnsi" w:hAnsiTheme="minorHAnsi"/>
          <w:sz w:val="22"/>
          <w:szCs w:val="22"/>
        </w:rPr>
      </w:pPr>
      <w:r w:rsidRPr="003D5F37">
        <w:rPr>
          <w:rFonts w:asciiTheme="minorHAnsi" w:hAnsiTheme="minorHAnsi"/>
          <w:sz w:val="22"/>
          <w:szCs w:val="22"/>
        </w:rPr>
        <w:t>Rodzaje materiałów</w:t>
      </w:r>
    </w:p>
    <w:p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sz w:val="22"/>
          <w:szCs w:val="22"/>
        </w:rPr>
        <w:t xml:space="preserve">Materiałem do wykonania podbudowy z kruszywa stabilizowanego mechanicznie jest kruszywo łamane, uzyskane w wyniku </w:t>
      </w:r>
      <w:proofErr w:type="spellStart"/>
      <w:r w:rsidRPr="003D5F37">
        <w:rPr>
          <w:rFonts w:asciiTheme="minorHAnsi" w:hAnsiTheme="minorHAnsi"/>
          <w:sz w:val="22"/>
          <w:szCs w:val="22"/>
        </w:rPr>
        <w:t>przekruszenia</w:t>
      </w:r>
      <w:proofErr w:type="spellEnd"/>
      <w:r w:rsidRPr="003D5F37">
        <w:rPr>
          <w:rFonts w:asciiTheme="minorHAnsi" w:hAnsiTheme="minorHAnsi"/>
          <w:sz w:val="22"/>
          <w:szCs w:val="22"/>
        </w:rPr>
        <w:t xml:space="preserve"> surowca skalnego, kamieni narzutowych i otoczaków</w:t>
      </w:r>
      <w:r w:rsidR="00664B1C">
        <w:rPr>
          <w:rFonts w:asciiTheme="minorHAnsi" w:hAnsiTheme="minorHAnsi"/>
          <w:sz w:val="22"/>
          <w:szCs w:val="22"/>
        </w:rPr>
        <w:t xml:space="preserve"> lub kruszywo naturalne</w:t>
      </w:r>
      <w:r w:rsidRPr="003D5F37">
        <w:rPr>
          <w:rFonts w:asciiTheme="minorHAnsi" w:hAnsiTheme="minorHAnsi"/>
          <w:sz w:val="22"/>
          <w:szCs w:val="22"/>
        </w:rPr>
        <w:t xml:space="preserve">. </w:t>
      </w:r>
    </w:p>
    <w:p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sz w:val="22"/>
          <w:szCs w:val="22"/>
        </w:rPr>
        <w:t>Kruszywo powinno być jednorodne bez zanieczyszczeń obcych i bez domieszek gliny.</w:t>
      </w:r>
    </w:p>
    <w:p w:rsidR="003D5F37" w:rsidRPr="003D5F37" w:rsidRDefault="003D5F37" w:rsidP="003D5F37">
      <w:pPr>
        <w:pStyle w:val="Nagwek2"/>
        <w:overflowPunct w:val="0"/>
        <w:autoSpaceDE w:val="0"/>
        <w:autoSpaceDN w:val="0"/>
        <w:adjustRightInd w:val="0"/>
        <w:spacing w:before="0" w:after="0" w:line="276" w:lineRule="auto"/>
        <w:textAlignment w:val="baseline"/>
        <w:rPr>
          <w:rFonts w:asciiTheme="minorHAnsi" w:hAnsiTheme="minorHAnsi"/>
          <w:sz w:val="22"/>
          <w:szCs w:val="22"/>
        </w:rPr>
      </w:pPr>
      <w:r w:rsidRPr="003D5F37">
        <w:rPr>
          <w:rFonts w:asciiTheme="minorHAnsi" w:hAnsiTheme="minorHAnsi"/>
          <w:sz w:val="22"/>
          <w:szCs w:val="22"/>
        </w:rPr>
        <w:t>Wymagania dla materiałów</w:t>
      </w:r>
    </w:p>
    <w:p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Uziarnienie kruszywa</w:t>
      </w:r>
    </w:p>
    <w:p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Krzywa uziarnienia kruszywa, określona według PN-EN 933-1:2000 powinna leżeć między krzywymi granicznymi pól dobrego uziarnienia podanymi na rysunku 1.</w:t>
      </w:r>
    </w:p>
    <w:p w:rsidR="003D5F37" w:rsidRPr="003D5F37" w:rsidRDefault="003D5F37" w:rsidP="003D5F37">
      <w:pPr>
        <w:framePr w:hSpace="141" w:wrap="auto" w:vAnchor="text" w:hAnchor="page" w:x="2409" w:y="756"/>
        <w:spacing w:after="0"/>
        <w:rPr>
          <w:rFonts w:asciiTheme="minorHAnsi" w:hAnsiTheme="minorHAnsi"/>
        </w:rPr>
      </w:pPr>
    </w:p>
    <w:p w:rsidR="003D5F37" w:rsidRPr="003D5F37" w:rsidRDefault="003D5F37" w:rsidP="003D5F37">
      <w:pPr>
        <w:pStyle w:val="Standardowytekst"/>
        <w:numPr>
          <w:ilvl w:val="12"/>
          <w:numId w:val="0"/>
        </w:numPr>
        <w:spacing w:line="276" w:lineRule="auto"/>
        <w:rPr>
          <w:rFonts w:asciiTheme="minorHAnsi" w:hAnsiTheme="minorHAnsi"/>
          <w:sz w:val="22"/>
          <w:szCs w:val="22"/>
        </w:rPr>
      </w:pPr>
    </w:p>
    <w:p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noProof/>
          <w:sz w:val="22"/>
          <w:szCs w:val="22"/>
        </w:rPr>
        <w:lastRenderedPageBreak/>
        <w:drawing>
          <wp:anchor distT="0" distB="0" distL="114300" distR="114300" simplePos="0" relativeHeight="251658240" behindDoc="0" locked="0" layoutInCell="1" allowOverlap="1" wp14:anchorId="078F7874" wp14:editId="260CA35A">
            <wp:simplePos x="0" y="0"/>
            <wp:positionH relativeFrom="margin">
              <wp:align>center</wp:align>
            </wp:positionH>
            <wp:positionV relativeFrom="paragraph">
              <wp:posOffset>233680</wp:posOffset>
            </wp:positionV>
            <wp:extent cx="4676775" cy="3095625"/>
            <wp:effectExtent l="0" t="0" r="9525" b="9525"/>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6775" cy="3095625"/>
                    </a:xfrm>
                    <a:prstGeom prst="rect">
                      <a:avLst/>
                    </a:prstGeom>
                    <a:noFill/>
                    <a:ln>
                      <a:noFill/>
                    </a:ln>
                  </pic:spPr>
                </pic:pic>
              </a:graphicData>
            </a:graphic>
          </wp:anchor>
        </w:drawing>
      </w:r>
    </w:p>
    <w:p w:rsidR="003D5F37" w:rsidRPr="003D5F37" w:rsidRDefault="003D5F37" w:rsidP="003D5F37">
      <w:pPr>
        <w:overflowPunct w:val="0"/>
        <w:autoSpaceDE w:val="0"/>
        <w:autoSpaceDN w:val="0"/>
        <w:adjustRightInd w:val="0"/>
        <w:spacing w:after="0"/>
        <w:jc w:val="both"/>
        <w:rPr>
          <w:rFonts w:asciiTheme="minorHAnsi" w:hAnsiTheme="minorHAnsi"/>
          <w:sz w:val="18"/>
          <w:szCs w:val="18"/>
        </w:rPr>
      </w:pPr>
      <w:r w:rsidRPr="003D5F37">
        <w:rPr>
          <w:rFonts w:asciiTheme="minorHAnsi" w:hAnsiTheme="minorHAnsi"/>
          <w:sz w:val="18"/>
          <w:szCs w:val="18"/>
        </w:rPr>
        <w:t>Rysunek 1. Pole dobrego uziarnienia kruszyw przeznaczonych na podbudowy wykonywane metodą stabilizacji mechanicznej</w:t>
      </w:r>
    </w:p>
    <w:p w:rsidR="003D5F37" w:rsidRPr="003D5F37" w:rsidRDefault="003D5F37" w:rsidP="003D5F37">
      <w:pPr>
        <w:overflowPunct w:val="0"/>
        <w:autoSpaceDE w:val="0"/>
        <w:autoSpaceDN w:val="0"/>
        <w:adjustRightInd w:val="0"/>
        <w:spacing w:after="0"/>
        <w:jc w:val="both"/>
        <w:rPr>
          <w:rFonts w:asciiTheme="minorHAnsi" w:hAnsiTheme="minorHAnsi"/>
          <w:sz w:val="18"/>
          <w:szCs w:val="18"/>
        </w:rPr>
      </w:pPr>
      <w:r w:rsidRPr="003D5F37">
        <w:rPr>
          <w:rFonts w:asciiTheme="minorHAnsi" w:hAnsiTheme="minorHAnsi"/>
          <w:sz w:val="18"/>
          <w:szCs w:val="18"/>
        </w:rPr>
        <w:t>1-2  kruszywo na podbudowę zasadniczą (górną warstwę) lub podbudowę jednowarstwową</w:t>
      </w:r>
    </w:p>
    <w:p w:rsidR="003D5F37" w:rsidRPr="003D5F37" w:rsidRDefault="003D5F37" w:rsidP="003D5F37">
      <w:pPr>
        <w:pStyle w:val="Standardowytekst"/>
        <w:numPr>
          <w:ilvl w:val="12"/>
          <w:numId w:val="0"/>
        </w:numPr>
        <w:spacing w:line="276" w:lineRule="auto"/>
        <w:rPr>
          <w:rFonts w:asciiTheme="minorHAnsi" w:hAnsiTheme="minorHAnsi"/>
          <w:sz w:val="22"/>
          <w:szCs w:val="22"/>
        </w:rPr>
      </w:pPr>
    </w:p>
    <w:p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sz w:val="22"/>
          <w:szCs w:val="22"/>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Właściwości kruszywa</w:t>
      </w:r>
    </w:p>
    <w:p w:rsidR="003D5F37" w:rsidRPr="003D5F37" w:rsidRDefault="003D5F37" w:rsidP="003D5F37">
      <w:pPr>
        <w:overflowPunct w:val="0"/>
        <w:autoSpaceDE w:val="0"/>
        <w:autoSpaceDN w:val="0"/>
        <w:adjustRightInd w:val="0"/>
        <w:spacing w:after="0"/>
        <w:jc w:val="both"/>
        <w:rPr>
          <w:rFonts w:asciiTheme="minorHAnsi" w:hAnsiTheme="minorHAnsi"/>
        </w:rPr>
      </w:pPr>
    </w:p>
    <w:p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 xml:space="preserve">   Tablica 1. Wymagane parametry dla mieszanki kruszywa łamanego</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2"/>
        <w:gridCol w:w="4358"/>
        <w:gridCol w:w="1620"/>
        <w:gridCol w:w="1455"/>
        <w:gridCol w:w="1565"/>
      </w:tblGrid>
      <w:tr w:rsidR="003D5F37" w:rsidRPr="003D5F37" w:rsidTr="00CD6600">
        <w:trPr>
          <w:jc w:val="center"/>
        </w:trPr>
        <w:tc>
          <w:tcPr>
            <w:tcW w:w="502" w:type="dxa"/>
            <w:tcBorders>
              <w:top w:val="single" w:sz="6" w:space="0" w:color="auto"/>
              <w:left w:val="single" w:sz="6" w:space="0" w:color="auto"/>
              <w:bottom w:val="double" w:sz="4" w:space="0" w:color="auto"/>
              <w:right w:val="single" w:sz="6" w:space="0" w:color="auto"/>
            </w:tcBorders>
            <w:vAlign w:val="center"/>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Lp.</w:t>
            </w:r>
          </w:p>
        </w:tc>
        <w:tc>
          <w:tcPr>
            <w:tcW w:w="4358" w:type="dxa"/>
            <w:tcBorders>
              <w:top w:val="single" w:sz="6" w:space="0" w:color="auto"/>
              <w:left w:val="single" w:sz="6" w:space="0" w:color="auto"/>
              <w:bottom w:val="double" w:sz="4" w:space="0" w:color="auto"/>
              <w:right w:val="single" w:sz="6" w:space="0" w:color="auto"/>
            </w:tcBorders>
            <w:vAlign w:val="center"/>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Wyszczególnienie właściwości</w:t>
            </w:r>
          </w:p>
        </w:tc>
        <w:tc>
          <w:tcPr>
            <w:tcW w:w="1620" w:type="dxa"/>
            <w:tcBorders>
              <w:top w:val="single" w:sz="6" w:space="0" w:color="auto"/>
              <w:left w:val="single" w:sz="6" w:space="0" w:color="auto"/>
              <w:bottom w:val="double" w:sz="4" w:space="0" w:color="auto"/>
              <w:right w:val="single" w:sz="6" w:space="0" w:color="auto"/>
            </w:tcBorders>
            <w:vAlign w:val="center"/>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Kruszywo łamane na podbudowę zasadniczą</w:t>
            </w:r>
          </w:p>
        </w:tc>
        <w:tc>
          <w:tcPr>
            <w:tcW w:w="1455" w:type="dxa"/>
            <w:tcBorders>
              <w:top w:val="single" w:sz="6" w:space="0" w:color="auto"/>
              <w:left w:val="single" w:sz="6" w:space="0" w:color="auto"/>
              <w:bottom w:val="double" w:sz="4" w:space="0" w:color="auto"/>
              <w:right w:val="single" w:sz="6" w:space="0" w:color="auto"/>
            </w:tcBorders>
            <w:vAlign w:val="center"/>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Kruszywo łamane na podbudowę pomocniczą</w:t>
            </w:r>
          </w:p>
        </w:tc>
        <w:tc>
          <w:tcPr>
            <w:tcW w:w="1565" w:type="dxa"/>
            <w:tcBorders>
              <w:top w:val="single" w:sz="6" w:space="0" w:color="auto"/>
              <w:left w:val="single" w:sz="6" w:space="0" w:color="auto"/>
              <w:bottom w:val="double" w:sz="4" w:space="0" w:color="auto"/>
              <w:right w:val="single" w:sz="6" w:space="0" w:color="auto"/>
            </w:tcBorders>
            <w:vAlign w:val="center"/>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Badania wg</w:t>
            </w:r>
          </w:p>
        </w:tc>
      </w:tr>
      <w:tr w:rsidR="003D5F37" w:rsidRPr="003D5F37" w:rsidTr="00CD6600">
        <w:trPr>
          <w:jc w:val="center"/>
        </w:trPr>
        <w:tc>
          <w:tcPr>
            <w:tcW w:w="502" w:type="dxa"/>
            <w:tcBorders>
              <w:top w:val="nil"/>
              <w:lef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4358" w:type="dxa"/>
            <w:tcBorders>
              <w:top w:val="nil"/>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Zawartość ziaren mniejszych niż 0,075 mm,</w:t>
            </w:r>
            <w:r w:rsidRPr="003D5F37">
              <w:rPr>
                <w:rFonts w:asciiTheme="minorHAnsi" w:hAnsiTheme="minorHAnsi"/>
              </w:rPr>
              <w:t xml:space="preserve"> %(m/m)</w:t>
            </w:r>
          </w:p>
        </w:tc>
        <w:tc>
          <w:tcPr>
            <w:tcW w:w="1620" w:type="dxa"/>
            <w:tcBorders>
              <w:top w:val="nil"/>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od 2 do 10</w:t>
            </w:r>
          </w:p>
        </w:tc>
        <w:tc>
          <w:tcPr>
            <w:tcW w:w="1455" w:type="dxa"/>
            <w:tcBorders>
              <w:top w:val="nil"/>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od 2 do 12</w:t>
            </w:r>
          </w:p>
        </w:tc>
        <w:tc>
          <w:tcPr>
            <w:tcW w:w="1565" w:type="dxa"/>
            <w:tcBorders>
              <w:top w:val="nil"/>
              <w:righ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933-1</w:t>
            </w:r>
          </w:p>
        </w:tc>
      </w:tr>
      <w:tr w:rsidR="003D5F37" w:rsidRPr="003D5F37" w:rsidTr="00CD6600">
        <w:trPr>
          <w:jc w:val="center"/>
        </w:trPr>
        <w:tc>
          <w:tcPr>
            <w:tcW w:w="502" w:type="dxa"/>
            <w:tcBorders>
              <w:lef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2.</w:t>
            </w:r>
          </w:p>
        </w:tc>
        <w:tc>
          <w:tcPr>
            <w:tcW w:w="4358"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Zawartość nadziarna,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w:t>
            </w:r>
          </w:p>
        </w:tc>
        <w:tc>
          <w:tcPr>
            <w:tcW w:w="1455"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10</w:t>
            </w:r>
          </w:p>
        </w:tc>
        <w:tc>
          <w:tcPr>
            <w:tcW w:w="1565" w:type="dxa"/>
            <w:tcBorders>
              <w:righ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933-1</w:t>
            </w:r>
          </w:p>
        </w:tc>
      </w:tr>
      <w:tr w:rsidR="003D5F37" w:rsidRPr="003D5F37" w:rsidTr="00CD6600">
        <w:trPr>
          <w:jc w:val="center"/>
        </w:trPr>
        <w:tc>
          <w:tcPr>
            <w:tcW w:w="502" w:type="dxa"/>
            <w:tcBorders>
              <w:lef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w:t>
            </w:r>
          </w:p>
        </w:tc>
        <w:tc>
          <w:tcPr>
            <w:tcW w:w="4358"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Zawartość ziaren nieforemnych,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35</w:t>
            </w:r>
          </w:p>
        </w:tc>
        <w:tc>
          <w:tcPr>
            <w:tcW w:w="1455"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40</w:t>
            </w:r>
          </w:p>
        </w:tc>
        <w:tc>
          <w:tcPr>
            <w:tcW w:w="1565" w:type="dxa"/>
            <w:tcBorders>
              <w:righ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933-4</w:t>
            </w:r>
          </w:p>
        </w:tc>
      </w:tr>
      <w:tr w:rsidR="003D5F37" w:rsidRPr="003D5F37" w:rsidTr="00CD6600">
        <w:trPr>
          <w:jc w:val="center"/>
        </w:trPr>
        <w:tc>
          <w:tcPr>
            <w:tcW w:w="502" w:type="dxa"/>
            <w:tcBorders>
              <w:lef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4.</w:t>
            </w:r>
          </w:p>
        </w:tc>
        <w:tc>
          <w:tcPr>
            <w:tcW w:w="4358"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Zawartość zanieczyszczeń organicznych,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1455"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1565" w:type="dxa"/>
            <w:tcBorders>
              <w:righ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PN-B-04481</w:t>
            </w:r>
          </w:p>
        </w:tc>
      </w:tr>
      <w:tr w:rsidR="003D5F37" w:rsidRPr="003D5F37" w:rsidTr="00CD6600">
        <w:trPr>
          <w:jc w:val="center"/>
        </w:trPr>
        <w:tc>
          <w:tcPr>
            <w:tcW w:w="502" w:type="dxa"/>
            <w:tcBorders>
              <w:lef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w:t>
            </w:r>
          </w:p>
        </w:tc>
        <w:tc>
          <w:tcPr>
            <w:tcW w:w="4358"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Wskaźnik piaskowy po pięciokrotnym zagęszczeniu metodą I lub II wg PN-B-04481, %</w:t>
            </w:r>
          </w:p>
        </w:tc>
        <w:tc>
          <w:tcPr>
            <w:tcW w:w="1620"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od 30 do 70</w:t>
            </w:r>
          </w:p>
        </w:tc>
        <w:tc>
          <w:tcPr>
            <w:tcW w:w="1455"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od 30 do 70</w:t>
            </w:r>
          </w:p>
        </w:tc>
        <w:tc>
          <w:tcPr>
            <w:tcW w:w="1565" w:type="dxa"/>
            <w:tcBorders>
              <w:righ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PN-64/8931-01</w:t>
            </w:r>
          </w:p>
        </w:tc>
      </w:tr>
      <w:tr w:rsidR="003D5F37" w:rsidRPr="003D5F37" w:rsidTr="00CD6600">
        <w:trPr>
          <w:jc w:val="center"/>
        </w:trPr>
        <w:tc>
          <w:tcPr>
            <w:tcW w:w="502" w:type="dxa"/>
            <w:tcBorders>
              <w:lef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6.</w:t>
            </w:r>
          </w:p>
        </w:tc>
        <w:tc>
          <w:tcPr>
            <w:tcW w:w="4358"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Ścieralność w bębnie Los Angeles:</w:t>
            </w:r>
          </w:p>
          <w:p w:rsidR="003D5F37" w:rsidRPr="003D5F37" w:rsidRDefault="003D5F37" w:rsidP="003D5F37">
            <w:pPr>
              <w:pStyle w:val="Tekstpodstawowy"/>
              <w:numPr>
                <w:ilvl w:val="0"/>
                <w:numId w:val="67"/>
              </w:numPr>
              <w:tabs>
                <w:tab w:val="left" w:pos="1"/>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ścieralność całkowita po pełnej liczbie obrotów, nie więcej niż;</w:t>
            </w:r>
          </w:p>
          <w:p w:rsidR="003D5F37" w:rsidRPr="003D5F37" w:rsidRDefault="003D5F37" w:rsidP="003D5F37">
            <w:pPr>
              <w:pStyle w:val="Tekstpodstawowy"/>
              <w:numPr>
                <w:ilvl w:val="0"/>
                <w:numId w:val="67"/>
              </w:numPr>
              <w:tabs>
                <w:tab w:val="left" w:pos="1"/>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ścieralność po 1/5 pełnej liczbie obrotów, w stosunku do ubytku masy po pełnej liczbie obrotów, nie więcej niż:</w:t>
            </w:r>
          </w:p>
        </w:tc>
        <w:tc>
          <w:tcPr>
            <w:tcW w:w="1620"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35</w:t>
            </w: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30</w:t>
            </w:r>
          </w:p>
        </w:tc>
        <w:tc>
          <w:tcPr>
            <w:tcW w:w="1455"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50</w:t>
            </w: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35</w:t>
            </w:r>
          </w:p>
        </w:tc>
        <w:tc>
          <w:tcPr>
            <w:tcW w:w="1565" w:type="dxa"/>
            <w:tcBorders>
              <w:right w:val="single" w:sz="6" w:space="0" w:color="auto"/>
            </w:tcBorders>
            <w:vAlign w:val="center"/>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1097-2</w:t>
            </w:r>
          </w:p>
        </w:tc>
      </w:tr>
      <w:tr w:rsidR="003D5F37" w:rsidRPr="003D5F37" w:rsidTr="00CD6600">
        <w:trPr>
          <w:jc w:val="center"/>
        </w:trPr>
        <w:tc>
          <w:tcPr>
            <w:tcW w:w="502" w:type="dxa"/>
            <w:tcBorders>
              <w:lef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lastRenderedPageBreak/>
              <w:t>7.</w:t>
            </w:r>
          </w:p>
        </w:tc>
        <w:tc>
          <w:tcPr>
            <w:tcW w:w="4358"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Nasiąkliwość,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w:t>
            </w:r>
          </w:p>
        </w:tc>
        <w:tc>
          <w:tcPr>
            <w:tcW w:w="1455" w:type="dxa"/>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w:t>
            </w:r>
          </w:p>
        </w:tc>
        <w:tc>
          <w:tcPr>
            <w:tcW w:w="1565" w:type="dxa"/>
            <w:tcBorders>
              <w:righ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1097-6</w:t>
            </w:r>
          </w:p>
        </w:tc>
      </w:tr>
      <w:tr w:rsidR="003D5F37" w:rsidRPr="003D5F37" w:rsidTr="00CD6600">
        <w:trPr>
          <w:jc w:val="center"/>
        </w:trPr>
        <w:tc>
          <w:tcPr>
            <w:tcW w:w="502" w:type="dxa"/>
            <w:tcBorders>
              <w:left w:val="single" w:sz="6" w:space="0" w:color="auto"/>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8.</w:t>
            </w:r>
          </w:p>
        </w:tc>
        <w:tc>
          <w:tcPr>
            <w:tcW w:w="4358" w:type="dxa"/>
            <w:tcBorders>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Mrozoodporność, ubytek masy po 25 cyklach zamrażania,</w:t>
            </w:r>
            <w:r w:rsidRPr="003D5F37">
              <w:rPr>
                <w:rFonts w:asciiTheme="minorHAnsi" w:hAnsiTheme="minorHAnsi"/>
              </w:rPr>
              <w:t xml:space="preserve"> %(m/m), </w:t>
            </w:r>
            <w:r w:rsidRPr="003D5F37">
              <w:rPr>
                <w:rFonts w:asciiTheme="minorHAnsi" w:hAnsiTheme="minorHAnsi"/>
                <w:snapToGrid w:val="0"/>
              </w:rPr>
              <w:t xml:space="preserve"> nie więcej niż:</w:t>
            </w:r>
          </w:p>
        </w:tc>
        <w:tc>
          <w:tcPr>
            <w:tcW w:w="1620" w:type="dxa"/>
            <w:tcBorders>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w:t>
            </w:r>
          </w:p>
        </w:tc>
        <w:tc>
          <w:tcPr>
            <w:tcW w:w="1455" w:type="dxa"/>
            <w:tcBorders>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10</w:t>
            </w:r>
          </w:p>
        </w:tc>
        <w:tc>
          <w:tcPr>
            <w:tcW w:w="1565" w:type="dxa"/>
            <w:tcBorders>
              <w:bottom w:val="single" w:sz="6" w:space="0" w:color="auto"/>
              <w:righ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1367-1</w:t>
            </w:r>
          </w:p>
        </w:tc>
      </w:tr>
      <w:tr w:rsidR="003D5F37" w:rsidRPr="003D5F37" w:rsidTr="00CD6600">
        <w:trPr>
          <w:jc w:val="center"/>
        </w:trPr>
        <w:tc>
          <w:tcPr>
            <w:tcW w:w="502" w:type="dxa"/>
            <w:tcBorders>
              <w:top w:val="single" w:sz="6" w:space="0" w:color="auto"/>
              <w:left w:val="single" w:sz="6" w:space="0" w:color="auto"/>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9.</w:t>
            </w:r>
          </w:p>
        </w:tc>
        <w:tc>
          <w:tcPr>
            <w:tcW w:w="4358" w:type="dxa"/>
            <w:tcBorders>
              <w:top w:val="single" w:sz="6" w:space="0" w:color="auto"/>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Zawartość związków siarki w przeliczeniu na SO</w:t>
            </w:r>
            <w:r w:rsidRPr="003D5F37">
              <w:rPr>
                <w:rFonts w:asciiTheme="minorHAnsi" w:hAnsiTheme="minorHAnsi"/>
                <w:snapToGrid w:val="0"/>
                <w:vertAlign w:val="subscript"/>
              </w:rPr>
              <w:t>3</w:t>
            </w:r>
            <w:r w:rsidRPr="003D5F37">
              <w:rPr>
                <w:rFonts w:asciiTheme="minorHAnsi" w:hAnsiTheme="minorHAnsi"/>
                <w:snapToGrid w:val="0"/>
              </w:rPr>
              <w:t xml:space="preserve">,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Borders>
              <w:top w:val="single" w:sz="6" w:space="0" w:color="auto"/>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1455" w:type="dxa"/>
            <w:tcBorders>
              <w:top w:val="single" w:sz="6" w:space="0" w:color="auto"/>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1565" w:type="dxa"/>
            <w:tcBorders>
              <w:top w:val="single" w:sz="6" w:space="0" w:color="auto"/>
              <w:bottom w:val="single" w:sz="6" w:space="0" w:color="auto"/>
              <w:righ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1744-1</w:t>
            </w:r>
          </w:p>
        </w:tc>
      </w:tr>
      <w:tr w:rsidR="003D5F37" w:rsidRPr="003D5F37" w:rsidTr="00CD6600">
        <w:trPr>
          <w:jc w:val="center"/>
        </w:trPr>
        <w:tc>
          <w:tcPr>
            <w:tcW w:w="502" w:type="dxa"/>
            <w:tcBorders>
              <w:top w:val="single" w:sz="6" w:space="0" w:color="auto"/>
              <w:left w:val="single" w:sz="6" w:space="0" w:color="auto"/>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10.</w:t>
            </w:r>
          </w:p>
        </w:tc>
        <w:tc>
          <w:tcPr>
            <w:tcW w:w="4358" w:type="dxa"/>
            <w:tcBorders>
              <w:top w:val="single" w:sz="6" w:space="0" w:color="auto"/>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Wskaźnik nośności W</w:t>
            </w:r>
            <w:r w:rsidRPr="003D5F37">
              <w:rPr>
                <w:rFonts w:asciiTheme="minorHAnsi" w:hAnsiTheme="minorHAnsi"/>
                <w:snapToGrid w:val="0"/>
                <w:vertAlign w:val="subscript"/>
              </w:rPr>
              <w:t>noś</w:t>
            </w:r>
            <w:r w:rsidRPr="003D5F37">
              <w:rPr>
                <w:rFonts w:asciiTheme="minorHAnsi" w:hAnsiTheme="minorHAnsi"/>
                <w:snapToGrid w:val="0"/>
              </w:rPr>
              <w:t xml:space="preserve"> mieszanki kruszywa,</w:t>
            </w:r>
            <w:r w:rsidRPr="003D5F37">
              <w:rPr>
                <w:rFonts w:asciiTheme="minorHAnsi" w:hAnsiTheme="minorHAnsi"/>
              </w:rPr>
              <w:t xml:space="preserve"> %,</w:t>
            </w:r>
            <w:r w:rsidRPr="003D5F37">
              <w:rPr>
                <w:rFonts w:asciiTheme="minorHAnsi" w:hAnsiTheme="minorHAnsi"/>
                <w:snapToGrid w:val="0"/>
              </w:rPr>
              <w:t xml:space="preserve"> nie mniejszy niż:</w:t>
            </w:r>
          </w:p>
          <w:p w:rsidR="003D5F37" w:rsidRPr="003D5F37" w:rsidRDefault="003D5F37" w:rsidP="003D5F37">
            <w:pPr>
              <w:pStyle w:val="Tekstpodstawowy"/>
              <w:numPr>
                <w:ilvl w:val="0"/>
                <w:numId w:val="68"/>
              </w:numPr>
              <w:tabs>
                <w:tab w:val="left" w:pos="1"/>
                <w:tab w:val="left" w:pos="425"/>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przy zagęszczeniu </w:t>
            </w:r>
            <w:proofErr w:type="spellStart"/>
            <w:r w:rsidRPr="003D5F37">
              <w:rPr>
                <w:rFonts w:asciiTheme="minorHAnsi" w:hAnsiTheme="minorHAnsi"/>
                <w:snapToGrid w:val="0"/>
              </w:rPr>
              <w:t>Is</w:t>
            </w:r>
            <w:proofErr w:type="spellEnd"/>
            <w:r w:rsidRPr="003D5F37">
              <w:rPr>
                <w:rFonts w:asciiTheme="minorHAnsi" w:hAnsiTheme="minorHAnsi"/>
                <w:snapToGrid w:val="0"/>
              </w:rPr>
              <w:sym w:font="Symbol" w:char="F0B3"/>
            </w:r>
            <w:r w:rsidRPr="003D5F37">
              <w:rPr>
                <w:rFonts w:asciiTheme="minorHAnsi" w:hAnsiTheme="minorHAnsi"/>
                <w:snapToGrid w:val="0"/>
              </w:rPr>
              <w:t>1,00 dla KR1 do KR2,</w:t>
            </w:r>
          </w:p>
          <w:p w:rsidR="003D5F37" w:rsidRPr="003D5F37" w:rsidRDefault="003D5F37" w:rsidP="003D5F37">
            <w:pPr>
              <w:pStyle w:val="Tekstpodstawowy"/>
              <w:numPr>
                <w:ilvl w:val="0"/>
                <w:numId w:val="68"/>
              </w:numPr>
              <w:tabs>
                <w:tab w:val="left" w:pos="1"/>
                <w:tab w:val="left" w:pos="425"/>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przy zagęszczeniu </w:t>
            </w:r>
            <w:proofErr w:type="spellStart"/>
            <w:r w:rsidRPr="003D5F37">
              <w:rPr>
                <w:rFonts w:asciiTheme="minorHAnsi" w:hAnsiTheme="minorHAnsi"/>
                <w:snapToGrid w:val="0"/>
              </w:rPr>
              <w:t>Is</w:t>
            </w:r>
            <w:proofErr w:type="spellEnd"/>
            <w:r w:rsidRPr="003D5F37">
              <w:rPr>
                <w:rFonts w:asciiTheme="minorHAnsi" w:hAnsiTheme="minorHAnsi"/>
                <w:snapToGrid w:val="0"/>
              </w:rPr>
              <w:sym w:font="Symbol" w:char="F0B3"/>
            </w:r>
            <w:r w:rsidRPr="003D5F37">
              <w:rPr>
                <w:rFonts w:asciiTheme="minorHAnsi" w:hAnsiTheme="minorHAnsi"/>
                <w:snapToGrid w:val="0"/>
              </w:rPr>
              <w:t xml:space="preserve">1,03 dla KR3 do KR6 </w:t>
            </w:r>
          </w:p>
        </w:tc>
        <w:tc>
          <w:tcPr>
            <w:tcW w:w="1620" w:type="dxa"/>
            <w:tcBorders>
              <w:top w:val="single" w:sz="6" w:space="0" w:color="auto"/>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80</w:t>
            </w: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120</w:t>
            </w:r>
          </w:p>
        </w:tc>
        <w:tc>
          <w:tcPr>
            <w:tcW w:w="1455" w:type="dxa"/>
            <w:tcBorders>
              <w:top w:val="single" w:sz="6" w:space="0" w:color="auto"/>
              <w:bottom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60</w:t>
            </w: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tc>
        <w:tc>
          <w:tcPr>
            <w:tcW w:w="1565" w:type="dxa"/>
            <w:tcBorders>
              <w:top w:val="single" w:sz="6" w:space="0" w:color="auto"/>
              <w:bottom w:val="single" w:sz="6" w:space="0" w:color="auto"/>
              <w:right w:val="single" w:sz="6" w:space="0" w:color="auto"/>
            </w:tcBorders>
          </w:tcPr>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PN-S-06102</w:t>
            </w:r>
          </w:p>
        </w:tc>
      </w:tr>
    </w:tbl>
    <w:p w:rsidR="003D5F37" w:rsidRPr="003D5F37" w:rsidRDefault="003D5F37" w:rsidP="003D5F37">
      <w:pPr>
        <w:overflowPunct w:val="0"/>
        <w:autoSpaceDE w:val="0"/>
        <w:autoSpaceDN w:val="0"/>
        <w:adjustRightInd w:val="0"/>
        <w:spacing w:after="0"/>
        <w:jc w:val="both"/>
        <w:rPr>
          <w:rFonts w:asciiTheme="minorHAnsi" w:hAnsiTheme="minorHAnsi"/>
          <w:b/>
        </w:rPr>
      </w:pPr>
    </w:p>
    <w:p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Woda</w:t>
      </w:r>
    </w:p>
    <w:p w:rsidR="003D5F37" w:rsidRPr="003D5F37" w:rsidRDefault="003D5F37" w:rsidP="003D5F37">
      <w:pPr>
        <w:spacing w:after="0"/>
        <w:jc w:val="both"/>
        <w:rPr>
          <w:rFonts w:asciiTheme="minorHAnsi" w:hAnsiTheme="minorHAnsi" w:cs="Calibri"/>
          <w:bCs/>
        </w:rPr>
      </w:pPr>
      <w:r w:rsidRPr="003D5F37">
        <w:rPr>
          <w:rFonts w:asciiTheme="minorHAnsi" w:hAnsiTheme="minorHAnsi"/>
        </w:rPr>
        <w:t>Należy stosować wodę wg PN-EN 1</w:t>
      </w:r>
      <w:r>
        <w:rPr>
          <w:rFonts w:asciiTheme="minorHAnsi" w:hAnsiTheme="minorHAnsi"/>
        </w:rPr>
        <w:t>008-1</w:t>
      </w:r>
      <w:r w:rsidRPr="003D5F37">
        <w:rPr>
          <w:rFonts w:asciiTheme="minorHAnsi" w:hAnsiTheme="minorHAnsi"/>
        </w:rPr>
        <w:t>.</w:t>
      </w:r>
    </w:p>
    <w:p w:rsidR="003D5F37" w:rsidRPr="003D5F37" w:rsidRDefault="003D5F37" w:rsidP="003D5F37">
      <w:pPr>
        <w:spacing w:after="0"/>
        <w:jc w:val="both"/>
        <w:rPr>
          <w:rFonts w:cs="Calibri"/>
          <w:bCs/>
        </w:rPr>
      </w:pPr>
    </w:p>
    <w:p w:rsidR="00B24A08" w:rsidRDefault="00B24A08" w:rsidP="00B24A08">
      <w:pPr>
        <w:pStyle w:val="Akapitzlist"/>
        <w:numPr>
          <w:ilvl w:val="0"/>
          <w:numId w:val="18"/>
        </w:numPr>
        <w:spacing w:after="0"/>
        <w:jc w:val="both"/>
        <w:rPr>
          <w:rFonts w:cs="Calibri"/>
          <w:b/>
          <w:bCs/>
        </w:rPr>
      </w:pPr>
      <w:r w:rsidRPr="00B24A08">
        <w:rPr>
          <w:rFonts w:cs="Calibri"/>
          <w:b/>
          <w:bCs/>
        </w:rPr>
        <w:t>SPRZĘT</w:t>
      </w:r>
    </w:p>
    <w:p w:rsidR="00B24A08" w:rsidRPr="00B24A08" w:rsidRDefault="00B24A08" w:rsidP="00B24A08">
      <w:pPr>
        <w:pStyle w:val="Akapitzlist"/>
        <w:numPr>
          <w:ilvl w:val="1"/>
          <w:numId w:val="18"/>
        </w:numPr>
        <w:spacing w:after="0"/>
        <w:jc w:val="both"/>
        <w:rPr>
          <w:rFonts w:cs="Calibri"/>
          <w:b/>
          <w:bCs/>
        </w:rPr>
      </w:pPr>
      <w:r w:rsidRPr="00B24A08">
        <w:rPr>
          <w:rFonts w:cs="Calibri"/>
          <w:b/>
          <w:bCs/>
        </w:rPr>
        <w:t>Wymagania dotyczące sprzętu</w:t>
      </w:r>
    </w:p>
    <w:p w:rsidR="00952D82" w:rsidRDefault="00952D82" w:rsidP="00B24A08">
      <w:pPr>
        <w:spacing w:after="0"/>
        <w:jc w:val="both"/>
        <w:rPr>
          <w:rFonts w:cs="Calibri"/>
          <w:bCs/>
        </w:rPr>
      </w:pPr>
      <w:r w:rsidRPr="00952D82">
        <w:rPr>
          <w:rFonts w:cs="Calibri"/>
          <w:bCs/>
        </w:rPr>
        <w:t>Ogólne wymagania dotyczące sprzętu podano w ST</w:t>
      </w:r>
      <w:r>
        <w:rPr>
          <w:rFonts w:cs="Calibri"/>
          <w:bCs/>
        </w:rPr>
        <w:t xml:space="preserve"> 00.01. </w:t>
      </w:r>
    </w:p>
    <w:p w:rsidR="003D5F37" w:rsidRPr="00D87F29" w:rsidRDefault="003D5F37" w:rsidP="00D87F29">
      <w:pPr>
        <w:spacing w:after="0"/>
        <w:jc w:val="both"/>
        <w:rPr>
          <w:rFonts w:cs="Calibri"/>
          <w:bCs/>
        </w:rPr>
      </w:pPr>
      <w:r w:rsidRPr="00D87F29">
        <w:rPr>
          <w:rFonts w:cs="Calibri"/>
          <w:bCs/>
        </w:rPr>
        <w:t>Wykonawca przystępujący do wykonania podbudowy z kruszyw stabilizowanych mechanicznie  powinien wykazać się możliwością korzystania z następującego sprzętu:</w:t>
      </w:r>
    </w:p>
    <w:p w:rsidR="003D5F37" w:rsidRPr="00D87F29" w:rsidRDefault="003D5F37" w:rsidP="00D87F29">
      <w:pPr>
        <w:pStyle w:val="Akapitzlist"/>
        <w:numPr>
          <w:ilvl w:val="0"/>
          <w:numId w:val="70"/>
        </w:numPr>
        <w:spacing w:after="0"/>
        <w:jc w:val="both"/>
        <w:rPr>
          <w:rFonts w:cs="Calibri"/>
          <w:bCs/>
        </w:rPr>
      </w:pPr>
      <w:r w:rsidRPr="00D87F29">
        <w:rPr>
          <w:rFonts w:cs="Calibri"/>
          <w:bCs/>
        </w:rPr>
        <w:t>mieszarek do wytwarzania mieszanki, wyposażonych w urządzenia dozujące wodę. Mieszarki powinny zapewnić wytworzenie jednorodnej mieszanki o wilgotności optymalnej,</w:t>
      </w:r>
    </w:p>
    <w:p w:rsidR="003D5F37" w:rsidRPr="00D87F29" w:rsidRDefault="003D5F37" w:rsidP="00D87F29">
      <w:pPr>
        <w:pStyle w:val="Akapitzlist"/>
        <w:numPr>
          <w:ilvl w:val="0"/>
          <w:numId w:val="70"/>
        </w:numPr>
        <w:spacing w:after="0"/>
        <w:jc w:val="both"/>
        <w:rPr>
          <w:rFonts w:cs="Calibri"/>
          <w:bCs/>
        </w:rPr>
      </w:pPr>
      <w:r w:rsidRPr="00D87F29">
        <w:rPr>
          <w:rFonts w:cs="Calibri"/>
          <w:bCs/>
        </w:rPr>
        <w:t>równiarek albo układarek do rozkładania mieszanki,</w:t>
      </w:r>
    </w:p>
    <w:p w:rsidR="00952D82" w:rsidRPr="00D87F29" w:rsidRDefault="003D5F37" w:rsidP="00D87F29">
      <w:pPr>
        <w:pStyle w:val="Akapitzlist"/>
        <w:numPr>
          <w:ilvl w:val="0"/>
          <w:numId w:val="70"/>
        </w:numPr>
        <w:spacing w:after="0"/>
        <w:jc w:val="both"/>
        <w:rPr>
          <w:rFonts w:cs="Calibri"/>
          <w:bCs/>
        </w:rPr>
      </w:pPr>
      <w:r w:rsidRPr="00D87F29">
        <w:rPr>
          <w:rFonts w:cs="Calibri"/>
          <w:bCs/>
        </w:rPr>
        <w:t>walców ogumionych i stalowych wibracyjnych lub statycznych do zagęszczania. W miejscach trudno dostępnych powinny być stosowane zagęszczarki płytowe, ubijaki mechaniczne lub małe walce wibracyjne.</w:t>
      </w:r>
    </w:p>
    <w:p w:rsidR="00B24A08" w:rsidRPr="00555B85" w:rsidRDefault="00555B85" w:rsidP="00555B85">
      <w:pPr>
        <w:pStyle w:val="Akapitzlist"/>
        <w:numPr>
          <w:ilvl w:val="1"/>
          <w:numId w:val="18"/>
        </w:numPr>
        <w:spacing w:after="0"/>
        <w:jc w:val="both"/>
        <w:rPr>
          <w:rFonts w:cs="Calibri"/>
          <w:b/>
          <w:bCs/>
        </w:rPr>
      </w:pPr>
      <w:r w:rsidRPr="00555B85">
        <w:rPr>
          <w:rFonts w:cs="Calibri"/>
          <w:b/>
          <w:bCs/>
        </w:rPr>
        <w:t>Warunki stosowania sprzętu</w:t>
      </w:r>
    </w:p>
    <w:p w:rsidR="00555B85" w:rsidRPr="00555B85" w:rsidRDefault="00555B85" w:rsidP="00555B85">
      <w:pPr>
        <w:spacing w:after="0"/>
        <w:jc w:val="both"/>
        <w:rPr>
          <w:rFonts w:cs="Calibri"/>
          <w:bCs/>
        </w:rPr>
      </w:pPr>
      <w:r w:rsidRPr="00555B85">
        <w:rPr>
          <w:rFonts w:cs="Calibri"/>
          <w:bCs/>
        </w:rPr>
        <w:t>Cały sprzęt potrzebny na placu budowy zostanie dostarczony przez Wykonawcę. Wykonawca powinien posługiwać się</w:t>
      </w:r>
      <w:r>
        <w:rPr>
          <w:rFonts w:cs="Calibri"/>
          <w:bCs/>
        </w:rPr>
        <w:t xml:space="preserve"> </w:t>
      </w:r>
      <w:r w:rsidRPr="00555B85">
        <w:rPr>
          <w:rFonts w:cs="Calibri"/>
          <w:bCs/>
        </w:rPr>
        <w:t>sprzętem zapewniającym spełnienie wymogów jakościowych, ilościowych i wymogów bezpieczeństwa. Zastosowany przy prowadzeniu robót sprzęt nie mo</w:t>
      </w:r>
      <w:r>
        <w:rPr>
          <w:rFonts w:cs="Calibri"/>
          <w:bCs/>
        </w:rPr>
        <w:t>ż</w:t>
      </w:r>
      <w:r w:rsidRPr="00555B85">
        <w:rPr>
          <w:rFonts w:cs="Calibri"/>
          <w:bCs/>
        </w:rPr>
        <w:t>e powodować uszkodzeń</w:t>
      </w:r>
      <w:r>
        <w:rPr>
          <w:rFonts w:cs="Calibri"/>
          <w:bCs/>
        </w:rPr>
        <w:t xml:space="preserve"> </w:t>
      </w:r>
      <w:r w:rsidR="00952D82">
        <w:rPr>
          <w:rFonts w:cs="Calibri"/>
          <w:bCs/>
        </w:rPr>
        <w:t>obszaru niepodlegającego modernizacji</w:t>
      </w:r>
      <w:r w:rsidRPr="00555B85">
        <w:rPr>
          <w:rFonts w:cs="Calibri"/>
          <w:bCs/>
        </w:rPr>
        <w:t xml:space="preserve">.  </w:t>
      </w:r>
    </w:p>
    <w:p w:rsidR="00555B85" w:rsidRPr="00555B85" w:rsidRDefault="00555B85" w:rsidP="00555B85">
      <w:pPr>
        <w:spacing w:after="0"/>
        <w:jc w:val="both"/>
        <w:rPr>
          <w:rFonts w:cs="Calibri"/>
          <w:bCs/>
        </w:rPr>
      </w:pPr>
      <w:r w:rsidRPr="00555B85">
        <w:rPr>
          <w:rFonts w:cs="Calibri"/>
          <w:bCs/>
        </w:rPr>
        <w:t>Wykonawca jest zobowiązany do u</w:t>
      </w:r>
      <w:r>
        <w:rPr>
          <w:rFonts w:cs="Calibri"/>
          <w:bCs/>
        </w:rPr>
        <w:t>ż</w:t>
      </w:r>
      <w:r w:rsidRPr="00555B85">
        <w:rPr>
          <w:rFonts w:cs="Calibri"/>
          <w:bCs/>
        </w:rPr>
        <w:t xml:space="preserve">ywania jedynie takiego sprzętu, który nie spowoduje niekorzystnego wpływu na środowisko i jakość wykonywanych robót. </w:t>
      </w:r>
    </w:p>
    <w:p w:rsidR="00555B85" w:rsidRDefault="00555B85" w:rsidP="00555B85">
      <w:pPr>
        <w:spacing w:after="0"/>
        <w:jc w:val="both"/>
        <w:rPr>
          <w:rFonts w:cs="Calibri"/>
          <w:bCs/>
        </w:rPr>
      </w:pPr>
      <w:r w:rsidRPr="00555B85">
        <w:rPr>
          <w:rFonts w:cs="Calibri"/>
          <w:bCs/>
        </w:rPr>
        <w:t>Sprzęt i narzędzia zmechanizowane powinny być montowane, eksploatowane i obsługiwane zgodnie z instrukcją producenta oraz spełniać wymagania określone w przepisach dotyczących systemu oceny zgodności. Powinny być utrzymywane w stanie zapewniającym ich sprawne działanie, stosowane do prac, do jakich zostały przeznaczone i obsługiwane przez przeszkolone osoby.</w:t>
      </w:r>
    </w:p>
    <w:p w:rsidR="001E3776" w:rsidRDefault="001E3776" w:rsidP="00555B85">
      <w:pPr>
        <w:spacing w:after="0"/>
        <w:jc w:val="both"/>
        <w:rPr>
          <w:rFonts w:cs="Calibri"/>
          <w:bCs/>
        </w:rPr>
      </w:pPr>
    </w:p>
    <w:p w:rsidR="00555B85" w:rsidRDefault="00555B85" w:rsidP="00555B85">
      <w:pPr>
        <w:pStyle w:val="Akapitzlist"/>
        <w:numPr>
          <w:ilvl w:val="0"/>
          <w:numId w:val="18"/>
        </w:numPr>
        <w:spacing w:after="0"/>
        <w:jc w:val="both"/>
        <w:rPr>
          <w:rFonts w:cs="Calibri"/>
          <w:b/>
          <w:bCs/>
        </w:rPr>
      </w:pPr>
      <w:r w:rsidRPr="00555B85">
        <w:rPr>
          <w:rFonts w:cs="Calibri"/>
          <w:b/>
          <w:bCs/>
        </w:rPr>
        <w:t>TRANSPORT</w:t>
      </w:r>
    </w:p>
    <w:p w:rsidR="00555B85" w:rsidRPr="00555B85" w:rsidRDefault="00555B85" w:rsidP="00555B85">
      <w:pPr>
        <w:spacing w:after="0"/>
        <w:jc w:val="both"/>
        <w:rPr>
          <w:rFonts w:cs="Calibri"/>
          <w:bCs/>
        </w:rPr>
      </w:pPr>
      <w:r w:rsidRPr="00555B85">
        <w:rPr>
          <w:rFonts w:cs="Calibri"/>
          <w:bCs/>
        </w:rPr>
        <w:t>Wykonawca jest zobowiązany do stosowania jedynie takich środków transportu, które nie wpłyną</w:t>
      </w:r>
      <w:r>
        <w:rPr>
          <w:rFonts w:cs="Calibri"/>
          <w:bCs/>
        </w:rPr>
        <w:t xml:space="preserve"> </w:t>
      </w:r>
      <w:r w:rsidRPr="00555B85">
        <w:rPr>
          <w:rFonts w:cs="Calibri"/>
          <w:bCs/>
        </w:rPr>
        <w:t>niekorzystnie na jakość wykonanych robót i właściwości przewo</w:t>
      </w:r>
      <w:r>
        <w:rPr>
          <w:rFonts w:cs="Calibri"/>
          <w:bCs/>
        </w:rPr>
        <w:t>ż</w:t>
      </w:r>
      <w:r w:rsidRPr="00555B85">
        <w:rPr>
          <w:rFonts w:cs="Calibri"/>
          <w:bCs/>
        </w:rPr>
        <w:t xml:space="preserve">onych materiałów </w:t>
      </w:r>
    </w:p>
    <w:p w:rsidR="00D87F29" w:rsidRPr="00D87F29" w:rsidRDefault="00D87F29" w:rsidP="00D87F29">
      <w:pPr>
        <w:spacing w:after="0"/>
        <w:jc w:val="both"/>
        <w:rPr>
          <w:rFonts w:cs="Calibri"/>
          <w:bCs/>
        </w:rPr>
      </w:pPr>
      <w:r w:rsidRPr="00D87F29">
        <w:rPr>
          <w:rFonts w:cs="Calibri"/>
          <w:bCs/>
        </w:rPr>
        <w:t>Kruszywa można przewozić dowolnymi środkami transportu w warunkach zabezpieczających je przed zanieczyszczeniem, zmieszaniem z innymi materiałami, nadmiernym wysuszeniem i zawilgoceniem.</w:t>
      </w:r>
    </w:p>
    <w:p w:rsidR="00555B85" w:rsidRPr="00555B85" w:rsidRDefault="00D87F29" w:rsidP="00D87F29">
      <w:pPr>
        <w:spacing w:after="0"/>
        <w:jc w:val="both"/>
        <w:rPr>
          <w:rFonts w:cs="Calibri"/>
          <w:bCs/>
        </w:rPr>
      </w:pPr>
      <w:r w:rsidRPr="00D87F29">
        <w:rPr>
          <w:rFonts w:cs="Calibri"/>
          <w:bCs/>
        </w:rPr>
        <w:t>Transport pozostałych materiałów powinien odbywać się zgodnie z wymaganiami norm przedmiotowych.</w:t>
      </w:r>
      <w:r w:rsidR="00555B85" w:rsidRPr="00555B85">
        <w:rPr>
          <w:rFonts w:cs="Calibri"/>
          <w:bCs/>
        </w:rPr>
        <w:t xml:space="preserve"> </w:t>
      </w:r>
    </w:p>
    <w:p w:rsidR="001E3776" w:rsidRDefault="001E3776" w:rsidP="00555B85">
      <w:pPr>
        <w:spacing w:after="0"/>
        <w:jc w:val="both"/>
        <w:rPr>
          <w:rFonts w:cs="Calibri"/>
          <w:bCs/>
        </w:rPr>
      </w:pPr>
    </w:p>
    <w:p w:rsidR="00A55A4B" w:rsidRDefault="003521C7" w:rsidP="00A55A4B">
      <w:pPr>
        <w:pStyle w:val="Akapitzlist"/>
        <w:numPr>
          <w:ilvl w:val="0"/>
          <w:numId w:val="18"/>
        </w:numPr>
        <w:spacing w:after="0"/>
        <w:jc w:val="both"/>
        <w:rPr>
          <w:rFonts w:cs="Calibri"/>
          <w:b/>
          <w:bCs/>
        </w:rPr>
      </w:pPr>
      <w:r>
        <w:rPr>
          <w:rFonts w:cs="Calibri"/>
          <w:b/>
          <w:bCs/>
        </w:rPr>
        <w:lastRenderedPageBreak/>
        <w:t>WYKONYWANIE ROBÓT</w:t>
      </w:r>
    </w:p>
    <w:p w:rsidR="00CE0B69" w:rsidRDefault="003521C7" w:rsidP="003521C7">
      <w:pPr>
        <w:pStyle w:val="Akapitzlist"/>
        <w:numPr>
          <w:ilvl w:val="1"/>
          <w:numId w:val="18"/>
        </w:numPr>
        <w:spacing w:after="0"/>
        <w:jc w:val="both"/>
        <w:rPr>
          <w:rFonts w:cs="Calibri"/>
          <w:b/>
          <w:bCs/>
        </w:rPr>
      </w:pPr>
      <w:r w:rsidRPr="003521C7">
        <w:rPr>
          <w:rFonts w:cs="Calibri"/>
          <w:b/>
          <w:bCs/>
        </w:rPr>
        <w:t>Ogólne zasady wykonania robót</w:t>
      </w:r>
    </w:p>
    <w:p w:rsidR="003521C7" w:rsidRDefault="003521C7" w:rsidP="003521C7">
      <w:pPr>
        <w:spacing w:after="0"/>
        <w:jc w:val="both"/>
        <w:rPr>
          <w:rFonts w:cs="Calibri"/>
          <w:bCs/>
        </w:rPr>
      </w:pPr>
      <w:r w:rsidRPr="003521C7">
        <w:rPr>
          <w:rFonts w:cs="Calibri"/>
          <w:bCs/>
        </w:rPr>
        <w:t xml:space="preserve">Ogólne zasady wykonania robót podano w ST </w:t>
      </w:r>
      <w:r>
        <w:rPr>
          <w:rFonts w:cs="Calibri"/>
          <w:bCs/>
        </w:rPr>
        <w:t>00.01</w:t>
      </w:r>
      <w:r w:rsidRPr="003521C7">
        <w:rPr>
          <w:rFonts w:cs="Calibri"/>
          <w:bCs/>
        </w:rPr>
        <w:t xml:space="preserve"> „Wymagania ogólne”</w:t>
      </w:r>
      <w:r>
        <w:rPr>
          <w:rFonts w:cs="Calibri"/>
          <w:bCs/>
        </w:rPr>
        <w:t>.</w:t>
      </w:r>
    </w:p>
    <w:p w:rsidR="003521C7" w:rsidRPr="00D87F29" w:rsidRDefault="00D87F29" w:rsidP="00D87F29">
      <w:pPr>
        <w:pStyle w:val="Akapitzlist"/>
        <w:numPr>
          <w:ilvl w:val="1"/>
          <w:numId w:val="18"/>
        </w:numPr>
        <w:spacing w:after="0"/>
        <w:jc w:val="both"/>
        <w:rPr>
          <w:rFonts w:cs="Calibri"/>
          <w:b/>
          <w:bCs/>
        </w:rPr>
      </w:pPr>
      <w:r w:rsidRPr="00D87F29">
        <w:rPr>
          <w:rFonts w:cs="Calibri"/>
          <w:b/>
          <w:bCs/>
        </w:rPr>
        <w:t>Przygotowanie podłoża</w:t>
      </w:r>
    </w:p>
    <w:p w:rsidR="00D87F29" w:rsidRPr="00D87F29" w:rsidRDefault="00D87F29" w:rsidP="00D87F29">
      <w:pPr>
        <w:spacing w:after="0"/>
        <w:jc w:val="both"/>
        <w:rPr>
          <w:rFonts w:cs="Calibri"/>
          <w:bCs/>
        </w:rPr>
      </w:pPr>
      <w:r w:rsidRPr="00D87F29">
        <w:rPr>
          <w:rFonts w:cs="Calibri"/>
          <w:bCs/>
        </w:rPr>
        <w:t>Podbudowa musi być wytyczona w sposób umożliwiający jej wykonanie zgodnie z ST i według zaleceń Inżyniera.</w:t>
      </w:r>
    </w:p>
    <w:p w:rsidR="00D87F29" w:rsidRPr="00D87F29" w:rsidRDefault="00D87F29" w:rsidP="00D87F29">
      <w:pPr>
        <w:spacing w:after="0"/>
        <w:jc w:val="both"/>
        <w:rPr>
          <w:rFonts w:cs="Calibri"/>
          <w:bCs/>
        </w:rPr>
      </w:pPr>
      <w:r w:rsidRPr="00D87F29">
        <w:rPr>
          <w:rFonts w:cs="Calibri"/>
          <w:bCs/>
        </w:rPr>
        <w:t>Paliki lub szpilki do kontroli ukształtowania podbudowy muszą być wcześniej przygotowane, odpowiednio zamocowane i utrzymywane w czasie robót przez Wykonawcę.</w:t>
      </w:r>
    </w:p>
    <w:p w:rsidR="00D87F29" w:rsidRPr="00D87F29" w:rsidRDefault="00D87F29" w:rsidP="00D87F29">
      <w:pPr>
        <w:spacing w:after="0"/>
        <w:jc w:val="both"/>
        <w:rPr>
          <w:rFonts w:cs="Calibri"/>
          <w:bCs/>
        </w:rPr>
      </w:pPr>
      <w:r w:rsidRPr="00D87F29">
        <w:rPr>
          <w:rFonts w:cs="Calibri"/>
          <w:bCs/>
        </w:rPr>
        <w:t>Rozmieszczenie palików lub szpilek powinno umożliwiać naciągnięcie sznurków lub linek do wytyczenia robót w odstępach nie większych niż co 10 m.</w:t>
      </w:r>
    </w:p>
    <w:p w:rsidR="00D87F29" w:rsidRPr="00D87F29" w:rsidRDefault="00D87F29" w:rsidP="00D87F29">
      <w:pPr>
        <w:pStyle w:val="Akapitzlist"/>
        <w:numPr>
          <w:ilvl w:val="1"/>
          <w:numId w:val="18"/>
        </w:numPr>
        <w:spacing w:after="0"/>
        <w:jc w:val="both"/>
        <w:rPr>
          <w:rFonts w:cs="Calibri"/>
          <w:b/>
          <w:bCs/>
        </w:rPr>
      </w:pPr>
      <w:r w:rsidRPr="00D87F29">
        <w:rPr>
          <w:rFonts w:cs="Calibri"/>
          <w:b/>
          <w:bCs/>
        </w:rPr>
        <w:t>Wytwarzanie mieszanki kruszywa</w:t>
      </w:r>
    </w:p>
    <w:p w:rsidR="00D87F29" w:rsidRDefault="00D87F29" w:rsidP="00D87F29">
      <w:pPr>
        <w:spacing w:after="0"/>
        <w:jc w:val="both"/>
        <w:rPr>
          <w:rFonts w:cs="Calibri"/>
          <w:bCs/>
        </w:rPr>
      </w:pPr>
      <w:r w:rsidRPr="00D87F29">
        <w:rPr>
          <w:rFonts w:cs="Calibri"/>
          <w:bCs/>
        </w:rPr>
        <w:t>Mieszankę kruszywa o ściśle określonym uziarnieniu i wilgotności optymalnej wg receptury przygotowanej przez Wykonawcę na podstawie badań laboratoryjnych i zaakceptowanej przez Inżyniera,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D87F29" w:rsidRPr="00D87F29" w:rsidRDefault="00D87F29" w:rsidP="00D87F29">
      <w:pPr>
        <w:pStyle w:val="Akapitzlist"/>
        <w:numPr>
          <w:ilvl w:val="1"/>
          <w:numId w:val="18"/>
        </w:numPr>
        <w:spacing w:after="0"/>
        <w:jc w:val="both"/>
        <w:rPr>
          <w:rFonts w:cs="Calibri"/>
          <w:b/>
          <w:bCs/>
        </w:rPr>
      </w:pPr>
      <w:r w:rsidRPr="00D87F29">
        <w:rPr>
          <w:rFonts w:cs="Calibri"/>
          <w:b/>
          <w:bCs/>
        </w:rPr>
        <w:t>Wbudowywanie i zagęszczanie mieszanki</w:t>
      </w:r>
    </w:p>
    <w:p w:rsidR="00D87F29" w:rsidRPr="00D87F29" w:rsidRDefault="00D87F29" w:rsidP="00D87F29">
      <w:pPr>
        <w:spacing w:after="0"/>
        <w:jc w:val="both"/>
        <w:rPr>
          <w:rFonts w:cs="Calibri"/>
          <w:bCs/>
        </w:rPr>
      </w:pPr>
      <w:r w:rsidRPr="00D87F29">
        <w:rPr>
          <w:rFonts w:cs="Calibri"/>
          <w:bCs/>
        </w:rPr>
        <w:t>Mieszanka kruszywa powinna być rozkładana w warstwie o jednakowej grubości</w:t>
      </w:r>
      <w:r>
        <w:rPr>
          <w:rFonts w:cs="Calibri"/>
          <w:bCs/>
        </w:rPr>
        <w:t>.</w:t>
      </w:r>
    </w:p>
    <w:p w:rsidR="00D87F29" w:rsidRPr="00D87F29" w:rsidRDefault="00D87F29" w:rsidP="00D87F29">
      <w:pPr>
        <w:spacing w:after="0"/>
        <w:jc w:val="both"/>
        <w:rPr>
          <w:rFonts w:cs="Calibri"/>
          <w:bCs/>
        </w:rPr>
      </w:pPr>
      <w:r w:rsidRPr="00D87F29">
        <w:rPr>
          <w:rFonts w:cs="Calibri"/>
          <w:bCs/>
        </w:rPr>
        <w:t>Grubość pojedynczo układanej warstwy nie może przekraczać 20 cm po zagęszczeniu. Warstwa podbudowy powinna być rozłożona w sposób zapewniający osiągnięcie wymaganych spadków i rzędnych wysokościowych.</w:t>
      </w:r>
    </w:p>
    <w:p w:rsidR="00D87F29" w:rsidRPr="00D87F29" w:rsidRDefault="00D87F29" w:rsidP="00D87F29">
      <w:pPr>
        <w:spacing w:after="0"/>
        <w:jc w:val="both"/>
        <w:rPr>
          <w:rFonts w:cs="Calibri"/>
          <w:bCs/>
        </w:rPr>
      </w:pPr>
      <w:r w:rsidRPr="00D87F29">
        <w:rPr>
          <w:rFonts w:cs="Calibri"/>
          <w:bCs/>
        </w:rPr>
        <w:t>Bezpośrednio po wyprofilowaniu warstwy kruszywa należy przystąpić do jej zagęszczenia przez wałowanie. Podbudowę z kruszywa łamanego należy zagęszczać walcami</w:t>
      </w:r>
      <w:r>
        <w:rPr>
          <w:rFonts w:cs="Calibri"/>
          <w:bCs/>
        </w:rPr>
        <w:t xml:space="preserve"> </w:t>
      </w:r>
      <w:r w:rsidRPr="00D87F29">
        <w:rPr>
          <w:rFonts w:cs="Calibri"/>
          <w:bCs/>
        </w:rPr>
        <w:t>ogumionymi, walcami wibracyjnymi i gładkimi. Zagęszczanie powinno postępować stopniowo od krawędzi do środka podbudowy przy przekroju daszkowym oraz od dolnej do górnej krawędzi podbudowy przy przekroju o spadku jednostronnym. Jakiekolwiek nierówności lub zagłębienia powstałe w czasie zagęszczania powinny być wyrównane przez spulchnianie warstwy kruszywa i dodanie lub usunięcie materiału aż do otrzymania równej powierzchni. W miejscach niedostępnych dla walców podbudowa powinna być zagęszczona zagęszczarkami płytowymi, małymi walcami wibracyjnymi lub ubijakami mechanicznymi. W pierwszej fazie zagęszczania należy stosować sprzęt lżejszy, a w końcowej sprzęt cięższy.</w:t>
      </w:r>
    </w:p>
    <w:p w:rsidR="00D87F29" w:rsidRPr="00D87F29" w:rsidRDefault="00D87F29" w:rsidP="00D87F29">
      <w:pPr>
        <w:spacing w:after="0"/>
        <w:jc w:val="both"/>
        <w:rPr>
          <w:rFonts w:cs="Calibri"/>
          <w:bCs/>
        </w:rPr>
      </w:pPr>
      <w:r w:rsidRPr="00D87F29">
        <w:rPr>
          <w:rFonts w:cs="Calibri"/>
          <w:bCs/>
        </w:rPr>
        <w:t xml:space="preserve">Zagęszczenie należy prowadzić do osiągnięcia wskaźnika zagęszczenia podbudowy nie mniejszego od 1,00 według normalnej próby </w:t>
      </w:r>
      <w:proofErr w:type="spellStart"/>
      <w:r w:rsidRPr="00D87F29">
        <w:rPr>
          <w:rFonts w:cs="Calibri"/>
          <w:bCs/>
        </w:rPr>
        <w:t>Proctora</w:t>
      </w:r>
      <w:proofErr w:type="spellEnd"/>
      <w:r w:rsidRPr="00D87F29">
        <w:rPr>
          <w:rFonts w:cs="Calibri"/>
          <w:bCs/>
        </w:rPr>
        <w:t>, zgodnie z PN-B-04481 (metoda II).</w:t>
      </w:r>
    </w:p>
    <w:p w:rsidR="00D87F29" w:rsidRPr="00D87F29" w:rsidRDefault="00D87F29" w:rsidP="00D87F29">
      <w:pPr>
        <w:spacing w:after="0"/>
        <w:jc w:val="both"/>
        <w:rPr>
          <w:rFonts w:cs="Calibri"/>
          <w:bCs/>
        </w:rPr>
      </w:pPr>
      <w:r w:rsidRPr="00D87F29">
        <w:rPr>
          <w:rFonts w:cs="Calibri"/>
          <w:bCs/>
        </w:rPr>
        <w:t xml:space="preserve">Wilgotność mieszanki kruszywa podczas zagęszczania powinna odpowiadać wilgotności optymalnej, określonej według próby </w:t>
      </w:r>
      <w:proofErr w:type="spellStart"/>
      <w:r w:rsidRPr="00D87F29">
        <w:rPr>
          <w:rFonts w:cs="Calibri"/>
          <w:bCs/>
        </w:rPr>
        <w:t>Proctora</w:t>
      </w:r>
      <w:proofErr w:type="spellEnd"/>
      <w:r w:rsidRPr="00D87F29">
        <w:rPr>
          <w:rFonts w:cs="Calibri"/>
          <w:bCs/>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D87F29" w:rsidRDefault="00D87F29" w:rsidP="00D87F29">
      <w:pPr>
        <w:spacing w:after="0"/>
        <w:jc w:val="both"/>
        <w:rPr>
          <w:rFonts w:cs="Calibri"/>
          <w:bCs/>
        </w:rPr>
      </w:pPr>
      <w:r w:rsidRPr="00D87F29">
        <w:rPr>
          <w:rFonts w:cs="Calibri"/>
          <w:bCs/>
        </w:rPr>
        <w:t>Wskaźnik zagęszczenia podbudowy wg BN-77/8931-12 powinien odpowiadać przyjętemu poziomowi wskaźnika nośności podbudowy wg tablicy 1.</w:t>
      </w:r>
    </w:p>
    <w:p w:rsidR="00D87F29" w:rsidRPr="00D87F29" w:rsidRDefault="00D87F29" w:rsidP="00D87F29">
      <w:pPr>
        <w:pStyle w:val="Akapitzlist"/>
        <w:numPr>
          <w:ilvl w:val="1"/>
          <w:numId w:val="18"/>
        </w:numPr>
        <w:spacing w:after="0"/>
        <w:jc w:val="both"/>
        <w:rPr>
          <w:rFonts w:cs="Calibri"/>
          <w:b/>
          <w:bCs/>
        </w:rPr>
      </w:pPr>
      <w:r w:rsidRPr="00D87F29">
        <w:rPr>
          <w:rFonts w:cs="Calibri"/>
          <w:b/>
          <w:bCs/>
        </w:rPr>
        <w:t xml:space="preserve">Utrzymanie podbudowy </w:t>
      </w:r>
    </w:p>
    <w:p w:rsidR="00D87F29" w:rsidRDefault="00D87F29" w:rsidP="00D87F29">
      <w:pPr>
        <w:spacing w:after="0"/>
        <w:jc w:val="both"/>
        <w:rPr>
          <w:rFonts w:cs="Calibri"/>
          <w:bCs/>
        </w:rPr>
      </w:pPr>
      <w:r w:rsidRPr="00D87F29">
        <w:rPr>
          <w:rFonts w:cs="Calibri"/>
          <w:bCs/>
        </w:rP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w:t>
      </w:r>
      <w:r w:rsidRPr="00D87F29">
        <w:rPr>
          <w:rFonts w:cs="Calibri"/>
          <w:bCs/>
        </w:rPr>
        <w:lastRenderedPageBreak/>
        <w:t>przez ten ruch. Koszt napraw wynikłych z niewłaściwego utrzymania podbudowy obciąża Wykonawcę robót.</w:t>
      </w:r>
    </w:p>
    <w:p w:rsidR="00D87F29" w:rsidRPr="003521C7" w:rsidRDefault="00D87F29" w:rsidP="003521C7">
      <w:pPr>
        <w:spacing w:after="0"/>
        <w:jc w:val="both"/>
        <w:rPr>
          <w:rFonts w:cs="Calibri"/>
          <w:bCs/>
        </w:rPr>
      </w:pPr>
    </w:p>
    <w:p w:rsidR="002B393E" w:rsidRPr="002B393E" w:rsidRDefault="002B393E" w:rsidP="002B393E">
      <w:pPr>
        <w:pStyle w:val="Akapitzlist"/>
        <w:numPr>
          <w:ilvl w:val="0"/>
          <w:numId w:val="18"/>
        </w:numPr>
        <w:spacing w:after="0"/>
        <w:jc w:val="both"/>
        <w:rPr>
          <w:rFonts w:cs="Calibri"/>
          <w:b/>
          <w:bCs/>
        </w:rPr>
      </w:pPr>
      <w:r w:rsidRPr="002B393E">
        <w:rPr>
          <w:rFonts w:cs="Calibri"/>
          <w:b/>
          <w:bCs/>
        </w:rPr>
        <w:t>KONTROLA JAKOŚCI ROBÓT</w:t>
      </w:r>
    </w:p>
    <w:p w:rsidR="00136910" w:rsidRPr="00136910" w:rsidRDefault="00136910" w:rsidP="00136910">
      <w:pPr>
        <w:pStyle w:val="Akapitzlist"/>
        <w:numPr>
          <w:ilvl w:val="1"/>
          <w:numId w:val="18"/>
        </w:numPr>
        <w:spacing w:after="0"/>
        <w:jc w:val="both"/>
        <w:rPr>
          <w:rFonts w:cs="Calibri"/>
          <w:b/>
          <w:bCs/>
        </w:rPr>
      </w:pPr>
      <w:r w:rsidRPr="00136910">
        <w:rPr>
          <w:rFonts w:cs="Calibri"/>
          <w:b/>
          <w:bCs/>
        </w:rPr>
        <w:t>Ogólne zasady kontroli jakości robót</w:t>
      </w:r>
    </w:p>
    <w:p w:rsidR="00136910" w:rsidRDefault="00136910" w:rsidP="00136910">
      <w:pPr>
        <w:spacing w:after="0"/>
        <w:jc w:val="both"/>
        <w:rPr>
          <w:rFonts w:cs="Calibri"/>
          <w:bCs/>
        </w:rPr>
      </w:pPr>
      <w:r w:rsidRPr="00136910">
        <w:rPr>
          <w:rFonts w:cs="Calibri"/>
          <w:bCs/>
        </w:rPr>
        <w:t xml:space="preserve">Ogólne zasady kontroli jakości robót podano w ST </w:t>
      </w:r>
      <w:r>
        <w:rPr>
          <w:rFonts w:cs="Calibri"/>
          <w:bCs/>
        </w:rPr>
        <w:t>00.01</w:t>
      </w:r>
      <w:r w:rsidRPr="00136910">
        <w:rPr>
          <w:rFonts w:cs="Calibri"/>
          <w:bCs/>
        </w:rPr>
        <w:t xml:space="preserve"> „Wymagania ogólne”</w:t>
      </w:r>
      <w:r>
        <w:rPr>
          <w:rFonts w:cs="Calibri"/>
          <w:bCs/>
        </w:rPr>
        <w:t>.</w:t>
      </w:r>
    </w:p>
    <w:p w:rsidR="00D87F29" w:rsidRPr="00D87F29" w:rsidRDefault="00D87F29" w:rsidP="00D87F29">
      <w:pPr>
        <w:pStyle w:val="Akapitzlist"/>
        <w:numPr>
          <w:ilvl w:val="1"/>
          <w:numId w:val="18"/>
        </w:numPr>
        <w:spacing w:after="0"/>
        <w:jc w:val="both"/>
        <w:rPr>
          <w:rFonts w:cs="Calibri"/>
          <w:b/>
          <w:bCs/>
        </w:rPr>
      </w:pPr>
      <w:r w:rsidRPr="00D87F29">
        <w:rPr>
          <w:rFonts w:cs="Calibri"/>
          <w:b/>
          <w:bCs/>
        </w:rPr>
        <w:t>Badania przed przystąpieniem do robót</w:t>
      </w:r>
    </w:p>
    <w:p w:rsidR="00136910" w:rsidRDefault="00D87F29" w:rsidP="00D87F29">
      <w:pPr>
        <w:spacing w:after="0"/>
        <w:jc w:val="both"/>
        <w:rPr>
          <w:rFonts w:cs="Calibri"/>
          <w:bCs/>
        </w:rPr>
      </w:pPr>
      <w:r w:rsidRPr="00D87F29">
        <w:rPr>
          <w:rFonts w:cs="Calibri"/>
          <w:bCs/>
        </w:rPr>
        <w:t>Przed przystąpieniem do robót Wykonawca powinien wykonać badania kruszyw  przeznaczonych do wykonania robót i przedstawić wyniki tych badań Inżynierowi w celu akceptacji materiałów. Badania te powinny obejmować wszystki</w:t>
      </w:r>
      <w:r>
        <w:rPr>
          <w:rFonts w:cs="Calibri"/>
          <w:bCs/>
        </w:rPr>
        <w:t>e właściwości określone w pkt 2</w:t>
      </w:r>
      <w:r w:rsidRPr="00D87F29">
        <w:rPr>
          <w:rFonts w:cs="Calibri"/>
          <w:bCs/>
        </w:rPr>
        <w:t xml:space="preserve"> niniejszej ST.</w:t>
      </w:r>
    </w:p>
    <w:p w:rsidR="009D5004" w:rsidRPr="009D5004" w:rsidRDefault="009D5004" w:rsidP="009D5004">
      <w:pPr>
        <w:pStyle w:val="Akapitzlist"/>
        <w:numPr>
          <w:ilvl w:val="1"/>
          <w:numId w:val="18"/>
        </w:numPr>
        <w:spacing w:after="0"/>
        <w:jc w:val="both"/>
        <w:rPr>
          <w:rFonts w:cs="Calibri"/>
          <w:b/>
          <w:bCs/>
        </w:rPr>
      </w:pPr>
      <w:r w:rsidRPr="009D5004">
        <w:rPr>
          <w:rFonts w:cs="Calibri"/>
          <w:b/>
          <w:bCs/>
        </w:rPr>
        <w:t>Badania w czasie robót</w:t>
      </w:r>
    </w:p>
    <w:p w:rsidR="009D5004" w:rsidRPr="009D5004" w:rsidRDefault="009D5004" w:rsidP="009D5004">
      <w:pPr>
        <w:spacing w:after="0"/>
        <w:jc w:val="both"/>
        <w:rPr>
          <w:rFonts w:asciiTheme="minorHAnsi" w:hAnsiTheme="minorHAnsi"/>
          <w:b/>
        </w:rPr>
      </w:pPr>
      <w:r w:rsidRPr="009D5004">
        <w:rPr>
          <w:rFonts w:asciiTheme="minorHAnsi" w:hAnsiTheme="minorHAnsi"/>
          <w:b/>
        </w:rPr>
        <w:t>Częstotliwość oraz zakres badań i pomiarów</w:t>
      </w:r>
    </w:p>
    <w:p w:rsidR="009D5004" w:rsidRPr="009D5004" w:rsidRDefault="009D5004" w:rsidP="009D5004">
      <w:pPr>
        <w:spacing w:after="0"/>
        <w:jc w:val="both"/>
        <w:rPr>
          <w:rFonts w:asciiTheme="minorHAnsi" w:hAnsiTheme="minorHAnsi"/>
        </w:rPr>
      </w:pPr>
    </w:p>
    <w:p w:rsidR="009D5004" w:rsidRPr="009D5004" w:rsidRDefault="009D5004" w:rsidP="009D5004">
      <w:pPr>
        <w:pStyle w:val="tekstost"/>
        <w:spacing w:line="276" w:lineRule="auto"/>
        <w:rPr>
          <w:rFonts w:asciiTheme="minorHAnsi" w:hAnsiTheme="minorHAnsi"/>
          <w:sz w:val="18"/>
          <w:szCs w:val="18"/>
        </w:rPr>
      </w:pPr>
      <w:r w:rsidRPr="009D5004">
        <w:rPr>
          <w:rFonts w:asciiTheme="minorHAnsi" w:hAnsiTheme="minorHAnsi"/>
          <w:sz w:val="18"/>
          <w:szCs w:val="18"/>
        </w:rPr>
        <w:t>Tablica 2. Częstotliwość ora zakres  badań przy budowie podbudowy z kruszyw stabilizowanych mechanicznie</w:t>
      </w:r>
    </w:p>
    <w:tbl>
      <w:tblPr>
        <w:tblW w:w="0" w:type="auto"/>
        <w:jc w:val="center"/>
        <w:tblCellMar>
          <w:left w:w="70" w:type="dxa"/>
          <w:right w:w="70" w:type="dxa"/>
        </w:tblCellMar>
        <w:tblLook w:val="0000" w:firstRow="0" w:lastRow="0" w:firstColumn="0" w:lastColumn="0" w:noHBand="0" w:noVBand="0"/>
      </w:tblPr>
      <w:tblGrid>
        <w:gridCol w:w="404"/>
        <w:gridCol w:w="3572"/>
        <w:gridCol w:w="2368"/>
        <w:gridCol w:w="2437"/>
      </w:tblGrid>
      <w:tr w:rsidR="009D5004" w:rsidRPr="009D5004" w:rsidTr="00CD6600">
        <w:trPr>
          <w:jc w:val="center"/>
        </w:trPr>
        <w:tc>
          <w:tcPr>
            <w:tcW w:w="388" w:type="dxa"/>
            <w:tcBorders>
              <w:top w:val="single" w:sz="6" w:space="0" w:color="auto"/>
              <w:left w:val="single" w:sz="6" w:space="0" w:color="auto"/>
              <w:bottom w:val="nil"/>
              <w:right w:val="nil"/>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tc>
        <w:tc>
          <w:tcPr>
            <w:tcW w:w="3572" w:type="dxa"/>
            <w:tcBorders>
              <w:top w:val="single" w:sz="6" w:space="0" w:color="auto"/>
              <w:left w:val="single" w:sz="6" w:space="0" w:color="auto"/>
              <w:bottom w:val="nil"/>
              <w:right w:val="nil"/>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tc>
        <w:tc>
          <w:tcPr>
            <w:tcW w:w="4805" w:type="dxa"/>
            <w:gridSpan w:val="2"/>
            <w:tcBorders>
              <w:top w:val="single" w:sz="6" w:space="0" w:color="auto"/>
              <w:left w:val="single" w:sz="6" w:space="0" w:color="auto"/>
              <w:bottom w:val="single" w:sz="6" w:space="0" w:color="auto"/>
              <w:right w:val="single" w:sz="6" w:space="0" w:color="auto"/>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Częstotliwość badań</w:t>
            </w:r>
          </w:p>
        </w:tc>
      </w:tr>
      <w:tr w:rsidR="009D5004" w:rsidRPr="009D5004" w:rsidTr="00CD6600">
        <w:trPr>
          <w:jc w:val="center"/>
        </w:trPr>
        <w:tc>
          <w:tcPr>
            <w:tcW w:w="388" w:type="dxa"/>
            <w:tcBorders>
              <w:top w:val="nil"/>
              <w:left w:val="single" w:sz="6" w:space="0" w:color="auto"/>
              <w:bottom w:val="double" w:sz="6" w:space="0" w:color="auto"/>
              <w:right w:val="single" w:sz="6" w:space="0" w:color="auto"/>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Lp.</w:t>
            </w:r>
          </w:p>
        </w:tc>
        <w:tc>
          <w:tcPr>
            <w:tcW w:w="3572" w:type="dxa"/>
            <w:tcBorders>
              <w:top w:val="nil"/>
              <w:left w:val="nil"/>
              <w:bottom w:val="double" w:sz="6" w:space="0" w:color="auto"/>
              <w:right w:val="nil"/>
            </w:tcBorders>
            <w:noWrap/>
          </w:tcPr>
          <w:p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 </w:t>
            </w:r>
          </w:p>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Wyszczególnienie badań</w:t>
            </w:r>
          </w:p>
        </w:tc>
        <w:tc>
          <w:tcPr>
            <w:tcW w:w="2368" w:type="dxa"/>
            <w:tcBorders>
              <w:top w:val="single" w:sz="6" w:space="0" w:color="auto"/>
              <w:left w:val="single" w:sz="6" w:space="0" w:color="auto"/>
              <w:bottom w:val="double" w:sz="6" w:space="0" w:color="auto"/>
              <w:right w:val="single" w:sz="6" w:space="0" w:color="auto"/>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Minimalna liczba badań na dziennej działce roboczej</w:t>
            </w:r>
          </w:p>
        </w:tc>
        <w:tc>
          <w:tcPr>
            <w:tcW w:w="2437" w:type="dxa"/>
            <w:tcBorders>
              <w:top w:val="single" w:sz="6" w:space="0" w:color="auto"/>
              <w:left w:val="single" w:sz="6" w:space="0" w:color="auto"/>
              <w:bottom w:val="double" w:sz="6" w:space="0" w:color="auto"/>
              <w:right w:val="single" w:sz="6" w:space="0" w:color="auto"/>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Maksymalna powierzchnia podbudowy przypadająca na jedno badanie (m</w:t>
            </w:r>
            <w:r w:rsidRPr="009D5004">
              <w:rPr>
                <w:rFonts w:asciiTheme="minorHAnsi" w:hAnsiTheme="minorHAnsi"/>
                <w:sz w:val="22"/>
                <w:szCs w:val="22"/>
                <w:vertAlign w:val="superscript"/>
              </w:rPr>
              <w:t>2</w:t>
            </w:r>
            <w:r w:rsidRPr="009D5004">
              <w:rPr>
                <w:rFonts w:asciiTheme="minorHAnsi" w:hAnsiTheme="minorHAnsi"/>
                <w:sz w:val="22"/>
                <w:szCs w:val="22"/>
              </w:rPr>
              <w:t>)</w:t>
            </w:r>
          </w:p>
        </w:tc>
      </w:tr>
      <w:tr w:rsidR="009D5004" w:rsidRPr="009D5004" w:rsidTr="00CD6600">
        <w:trPr>
          <w:jc w:val="center"/>
        </w:trPr>
        <w:tc>
          <w:tcPr>
            <w:tcW w:w="388" w:type="dxa"/>
            <w:tcBorders>
              <w:top w:val="nil"/>
              <w:left w:val="single" w:sz="6" w:space="0" w:color="auto"/>
              <w:bottom w:val="single" w:sz="6" w:space="0" w:color="auto"/>
              <w:right w:val="single" w:sz="6" w:space="0" w:color="auto"/>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1</w:t>
            </w:r>
          </w:p>
        </w:tc>
        <w:tc>
          <w:tcPr>
            <w:tcW w:w="3572" w:type="dxa"/>
            <w:tcBorders>
              <w:top w:val="nil"/>
              <w:left w:val="single" w:sz="6" w:space="0" w:color="auto"/>
              <w:bottom w:val="single" w:sz="6" w:space="0" w:color="auto"/>
              <w:right w:val="nil"/>
            </w:tcBorders>
            <w:noWrap/>
          </w:tcPr>
          <w:p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 xml:space="preserve">Uziarnienie mieszanki </w:t>
            </w:r>
          </w:p>
        </w:tc>
        <w:tc>
          <w:tcPr>
            <w:tcW w:w="2368" w:type="dxa"/>
            <w:tcBorders>
              <w:top w:val="nil"/>
              <w:left w:val="single" w:sz="6" w:space="0" w:color="auto"/>
              <w:bottom w:val="nil"/>
              <w:right w:val="nil"/>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tc>
        <w:tc>
          <w:tcPr>
            <w:tcW w:w="2437" w:type="dxa"/>
            <w:tcBorders>
              <w:top w:val="nil"/>
              <w:left w:val="single" w:sz="6" w:space="0" w:color="auto"/>
              <w:bottom w:val="nil"/>
              <w:right w:val="single" w:sz="6" w:space="0" w:color="auto"/>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tc>
      </w:tr>
      <w:tr w:rsidR="009D5004" w:rsidRPr="009D5004" w:rsidTr="00CD6600">
        <w:trPr>
          <w:jc w:val="center"/>
        </w:trPr>
        <w:tc>
          <w:tcPr>
            <w:tcW w:w="388" w:type="dxa"/>
            <w:tcBorders>
              <w:top w:val="single" w:sz="6" w:space="0" w:color="auto"/>
              <w:left w:val="single" w:sz="6" w:space="0" w:color="auto"/>
              <w:bottom w:val="single" w:sz="6" w:space="0" w:color="auto"/>
              <w:right w:val="single" w:sz="6" w:space="0" w:color="auto"/>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2</w:t>
            </w:r>
          </w:p>
        </w:tc>
        <w:tc>
          <w:tcPr>
            <w:tcW w:w="3572" w:type="dxa"/>
            <w:tcBorders>
              <w:top w:val="single" w:sz="6" w:space="0" w:color="auto"/>
              <w:left w:val="single" w:sz="6" w:space="0" w:color="auto"/>
              <w:bottom w:val="single" w:sz="6" w:space="0" w:color="auto"/>
              <w:right w:val="nil"/>
            </w:tcBorders>
            <w:noWrap/>
          </w:tcPr>
          <w:p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 xml:space="preserve">Wilgotność mieszanki </w:t>
            </w:r>
          </w:p>
        </w:tc>
        <w:tc>
          <w:tcPr>
            <w:tcW w:w="2368" w:type="dxa"/>
            <w:tcBorders>
              <w:top w:val="nil"/>
              <w:left w:val="single" w:sz="6" w:space="0" w:color="auto"/>
              <w:bottom w:val="nil"/>
              <w:right w:val="nil"/>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2</w:t>
            </w:r>
          </w:p>
        </w:tc>
        <w:tc>
          <w:tcPr>
            <w:tcW w:w="2437" w:type="dxa"/>
            <w:tcBorders>
              <w:top w:val="nil"/>
              <w:left w:val="single" w:sz="6" w:space="0" w:color="auto"/>
              <w:bottom w:val="single" w:sz="6" w:space="0" w:color="auto"/>
              <w:right w:val="single" w:sz="6" w:space="0" w:color="auto"/>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600</w:t>
            </w:r>
          </w:p>
        </w:tc>
      </w:tr>
      <w:tr w:rsidR="009D5004" w:rsidRPr="009D5004" w:rsidTr="00CD6600">
        <w:trPr>
          <w:jc w:val="center"/>
        </w:trPr>
        <w:tc>
          <w:tcPr>
            <w:tcW w:w="388" w:type="dxa"/>
            <w:tcBorders>
              <w:top w:val="single" w:sz="6" w:space="0" w:color="auto"/>
              <w:left w:val="single" w:sz="6" w:space="0" w:color="auto"/>
              <w:bottom w:val="single" w:sz="6" w:space="0" w:color="auto"/>
              <w:right w:val="single" w:sz="6" w:space="0" w:color="auto"/>
            </w:tcBorders>
            <w:noWrap/>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3</w:t>
            </w:r>
          </w:p>
        </w:tc>
        <w:tc>
          <w:tcPr>
            <w:tcW w:w="3572" w:type="dxa"/>
            <w:tcBorders>
              <w:top w:val="single" w:sz="6" w:space="0" w:color="auto"/>
              <w:left w:val="single" w:sz="6" w:space="0" w:color="auto"/>
              <w:bottom w:val="single" w:sz="6" w:space="0" w:color="auto"/>
              <w:right w:val="nil"/>
            </w:tcBorders>
            <w:noWrap/>
          </w:tcPr>
          <w:p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Zagęszczenie warstwy</w:t>
            </w:r>
          </w:p>
        </w:tc>
        <w:tc>
          <w:tcPr>
            <w:tcW w:w="2368" w:type="dxa"/>
            <w:tcBorders>
              <w:top w:val="single" w:sz="6" w:space="0" w:color="auto"/>
              <w:left w:val="single" w:sz="6" w:space="0" w:color="auto"/>
              <w:bottom w:val="single" w:sz="6" w:space="0" w:color="auto"/>
              <w:right w:val="nil"/>
            </w:tcBorders>
            <w:noWrap/>
          </w:tcPr>
          <w:p w:rsidR="009D5004" w:rsidRPr="009D5004" w:rsidRDefault="009D5004" w:rsidP="009D5004">
            <w:pPr>
              <w:pStyle w:val="tekstost"/>
              <w:spacing w:line="276" w:lineRule="auto"/>
              <w:jc w:val="right"/>
              <w:rPr>
                <w:rFonts w:asciiTheme="minorHAnsi" w:hAnsiTheme="minorHAnsi"/>
                <w:sz w:val="22"/>
                <w:szCs w:val="22"/>
              </w:rPr>
            </w:pPr>
            <w:r w:rsidRPr="009D5004">
              <w:rPr>
                <w:rFonts w:asciiTheme="minorHAnsi" w:hAnsiTheme="minorHAnsi"/>
                <w:sz w:val="22"/>
                <w:szCs w:val="22"/>
              </w:rPr>
              <w:t>10 próbek</w:t>
            </w:r>
          </w:p>
        </w:tc>
        <w:tc>
          <w:tcPr>
            <w:tcW w:w="2437" w:type="dxa"/>
            <w:tcBorders>
              <w:top w:val="nil"/>
              <w:left w:val="nil"/>
              <w:bottom w:val="single" w:sz="6" w:space="0" w:color="auto"/>
              <w:right w:val="single" w:sz="6" w:space="0" w:color="auto"/>
            </w:tcBorders>
            <w:noWrap/>
          </w:tcPr>
          <w:p w:rsidR="009D5004" w:rsidRPr="009D5004" w:rsidRDefault="009D5004" w:rsidP="009D5004">
            <w:pPr>
              <w:pStyle w:val="tekstost"/>
              <w:spacing w:line="276" w:lineRule="auto"/>
              <w:jc w:val="left"/>
              <w:rPr>
                <w:rFonts w:asciiTheme="minorHAnsi" w:hAnsiTheme="minorHAnsi"/>
                <w:sz w:val="22"/>
                <w:szCs w:val="22"/>
              </w:rPr>
            </w:pPr>
            <w:r w:rsidRPr="009D5004">
              <w:rPr>
                <w:rFonts w:asciiTheme="minorHAnsi" w:hAnsiTheme="minorHAnsi"/>
                <w:sz w:val="22"/>
                <w:szCs w:val="22"/>
              </w:rPr>
              <w:t>na 10000 m</w:t>
            </w:r>
            <w:r w:rsidRPr="009D5004">
              <w:rPr>
                <w:rFonts w:asciiTheme="minorHAnsi" w:hAnsiTheme="minorHAnsi"/>
                <w:sz w:val="22"/>
                <w:szCs w:val="22"/>
                <w:vertAlign w:val="superscript"/>
              </w:rPr>
              <w:t>2</w:t>
            </w:r>
          </w:p>
        </w:tc>
      </w:tr>
      <w:tr w:rsidR="009D5004" w:rsidRPr="009D5004" w:rsidTr="00CD6600">
        <w:trPr>
          <w:jc w:val="center"/>
        </w:trPr>
        <w:tc>
          <w:tcPr>
            <w:tcW w:w="388" w:type="dxa"/>
            <w:tcBorders>
              <w:top w:val="single" w:sz="6" w:space="0" w:color="auto"/>
              <w:left w:val="single" w:sz="6" w:space="0" w:color="auto"/>
              <w:bottom w:val="single" w:sz="6" w:space="0" w:color="auto"/>
              <w:right w:val="single" w:sz="6" w:space="0" w:color="auto"/>
            </w:tcBorders>
            <w:noWrap/>
            <w:vAlign w:val="center"/>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4</w:t>
            </w:r>
          </w:p>
        </w:tc>
        <w:tc>
          <w:tcPr>
            <w:tcW w:w="3572" w:type="dxa"/>
            <w:tcBorders>
              <w:top w:val="single" w:sz="6" w:space="0" w:color="auto"/>
              <w:left w:val="single" w:sz="6" w:space="0" w:color="auto"/>
              <w:bottom w:val="single" w:sz="6" w:space="0" w:color="auto"/>
              <w:right w:val="single" w:sz="6" w:space="0" w:color="auto"/>
            </w:tcBorders>
            <w:noWrap/>
            <w:vAlign w:val="center"/>
          </w:tcPr>
          <w:p w:rsidR="009D5004" w:rsidRPr="009D5004" w:rsidRDefault="009D5004" w:rsidP="009D5004">
            <w:pPr>
              <w:pStyle w:val="tekstost"/>
              <w:spacing w:line="276" w:lineRule="auto"/>
              <w:jc w:val="left"/>
              <w:rPr>
                <w:rFonts w:asciiTheme="minorHAnsi" w:hAnsiTheme="minorHAnsi"/>
                <w:sz w:val="22"/>
                <w:szCs w:val="22"/>
              </w:rPr>
            </w:pPr>
            <w:r w:rsidRPr="009D5004">
              <w:rPr>
                <w:rFonts w:asciiTheme="minorHAnsi" w:hAnsiTheme="minorHAnsi"/>
                <w:sz w:val="22"/>
                <w:szCs w:val="22"/>
              </w:rPr>
              <w:t>Badanie właściwości kruszywa wg tab. 1, pkt 2</w:t>
            </w:r>
          </w:p>
        </w:tc>
        <w:tc>
          <w:tcPr>
            <w:tcW w:w="4805" w:type="dxa"/>
            <w:gridSpan w:val="2"/>
            <w:tcBorders>
              <w:top w:val="single" w:sz="6" w:space="0" w:color="auto"/>
              <w:left w:val="single" w:sz="6" w:space="0" w:color="auto"/>
              <w:bottom w:val="single" w:sz="6" w:space="0" w:color="auto"/>
              <w:right w:val="single" w:sz="6" w:space="0" w:color="auto"/>
            </w:tcBorders>
            <w:noWrap/>
            <w:vAlign w:val="center"/>
          </w:tcPr>
          <w:p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dla każdej partii kruszywa i przy każdej zmianie kruszywa</w:t>
            </w:r>
          </w:p>
        </w:tc>
      </w:tr>
    </w:tbl>
    <w:p w:rsidR="009D5004" w:rsidRPr="009D5004" w:rsidRDefault="009D5004" w:rsidP="009D5004">
      <w:pPr>
        <w:pStyle w:val="tekstost"/>
        <w:spacing w:line="276" w:lineRule="auto"/>
        <w:rPr>
          <w:rFonts w:asciiTheme="minorHAnsi" w:hAnsiTheme="minorHAnsi"/>
          <w:sz w:val="22"/>
          <w:szCs w:val="22"/>
        </w:rPr>
      </w:pPr>
    </w:p>
    <w:p w:rsidR="009D5004" w:rsidRPr="009D5004" w:rsidRDefault="009D5004" w:rsidP="009D5004">
      <w:pPr>
        <w:pStyle w:val="tekstost"/>
        <w:spacing w:line="276" w:lineRule="auto"/>
        <w:rPr>
          <w:rFonts w:asciiTheme="minorHAnsi" w:hAnsiTheme="minorHAnsi"/>
          <w:b/>
          <w:sz w:val="22"/>
          <w:szCs w:val="22"/>
        </w:rPr>
      </w:pPr>
      <w:r w:rsidRPr="009D5004">
        <w:rPr>
          <w:rFonts w:asciiTheme="minorHAnsi" w:hAnsiTheme="minorHAnsi"/>
          <w:b/>
          <w:sz w:val="22"/>
          <w:szCs w:val="22"/>
        </w:rPr>
        <w:t>Uziarnienie mieszanki</w:t>
      </w:r>
    </w:p>
    <w:p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Uziarnienie mieszanki powinno być zgodne z wymaganiami podanymi w pkt 2. Próbki należy pobierać w sposób losowy, z rozłożonej warstwy, przed jej zagęszczeniem. Wyniki badań powinny być na bieżąco przekazywane Inżynierowi.</w:t>
      </w:r>
    </w:p>
    <w:p w:rsidR="009D5004" w:rsidRPr="009D5004" w:rsidRDefault="009D5004" w:rsidP="009D5004">
      <w:pPr>
        <w:pStyle w:val="tekstost"/>
        <w:spacing w:line="276" w:lineRule="auto"/>
        <w:rPr>
          <w:rFonts w:asciiTheme="minorHAnsi" w:hAnsiTheme="minorHAnsi"/>
          <w:b/>
          <w:sz w:val="22"/>
          <w:szCs w:val="22"/>
        </w:rPr>
      </w:pPr>
      <w:r w:rsidRPr="009D5004">
        <w:rPr>
          <w:rFonts w:asciiTheme="minorHAnsi" w:hAnsiTheme="minorHAnsi"/>
          <w:b/>
          <w:sz w:val="22"/>
          <w:szCs w:val="22"/>
        </w:rPr>
        <w:t xml:space="preserve">Wilgotność mieszanki </w:t>
      </w:r>
    </w:p>
    <w:p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 xml:space="preserve">Wilgotność mieszanki powinna odpowiadać wilgotności optymalnej, określonej według próby </w:t>
      </w:r>
      <w:proofErr w:type="spellStart"/>
      <w:r w:rsidRPr="009D5004">
        <w:rPr>
          <w:rFonts w:asciiTheme="minorHAnsi" w:hAnsiTheme="minorHAnsi"/>
          <w:sz w:val="22"/>
          <w:szCs w:val="22"/>
        </w:rPr>
        <w:t>Proctora</w:t>
      </w:r>
      <w:proofErr w:type="spellEnd"/>
      <w:r w:rsidRPr="009D5004">
        <w:rPr>
          <w:rFonts w:asciiTheme="minorHAnsi" w:hAnsiTheme="minorHAnsi"/>
          <w:sz w:val="22"/>
          <w:szCs w:val="22"/>
        </w:rPr>
        <w:t>, zgodnie z PN-B-04481 (metoda II), z tolerancją +1% -2%.</w:t>
      </w:r>
    </w:p>
    <w:p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Wilgotność nale</w:t>
      </w:r>
      <w:r>
        <w:rPr>
          <w:rFonts w:asciiTheme="minorHAnsi" w:hAnsiTheme="minorHAnsi"/>
          <w:sz w:val="22"/>
          <w:szCs w:val="22"/>
        </w:rPr>
        <w:t>ży określić według PN-EN 1097-5</w:t>
      </w:r>
      <w:r w:rsidRPr="009D5004">
        <w:rPr>
          <w:rFonts w:asciiTheme="minorHAnsi" w:hAnsiTheme="minorHAnsi"/>
          <w:sz w:val="22"/>
          <w:szCs w:val="22"/>
        </w:rPr>
        <w:t>.</w:t>
      </w:r>
    </w:p>
    <w:p w:rsidR="009D5004" w:rsidRPr="009D5004" w:rsidRDefault="009D5004" w:rsidP="009D5004">
      <w:pPr>
        <w:pStyle w:val="tekstost"/>
        <w:spacing w:line="276" w:lineRule="auto"/>
        <w:rPr>
          <w:rFonts w:asciiTheme="minorHAnsi" w:hAnsiTheme="minorHAnsi"/>
          <w:b/>
          <w:sz w:val="22"/>
          <w:szCs w:val="22"/>
        </w:rPr>
      </w:pPr>
      <w:r w:rsidRPr="009D5004">
        <w:rPr>
          <w:rFonts w:asciiTheme="minorHAnsi" w:hAnsiTheme="minorHAnsi"/>
          <w:b/>
          <w:sz w:val="22"/>
          <w:szCs w:val="22"/>
        </w:rPr>
        <w:t>Zagęszczenie podbudowy</w:t>
      </w:r>
    </w:p>
    <w:p w:rsidR="009D5004" w:rsidRPr="009D5004" w:rsidRDefault="009D5004" w:rsidP="009D5004">
      <w:pPr>
        <w:tabs>
          <w:tab w:val="left" w:pos="426"/>
        </w:tabs>
        <w:spacing w:after="0"/>
        <w:jc w:val="both"/>
        <w:rPr>
          <w:rFonts w:asciiTheme="minorHAnsi" w:hAnsiTheme="minorHAnsi"/>
        </w:rPr>
      </w:pPr>
      <w:r w:rsidRPr="009D5004">
        <w:rPr>
          <w:rFonts w:asciiTheme="minorHAnsi" w:hAnsiTheme="minorHAnsi"/>
        </w:rPr>
        <w:t xml:space="preserve">Zagęszczanie każdej warstwy musi odbywać się do osiągnięcia zagęszczenia nie mniejszego od 1,00 według normalnej próby </w:t>
      </w:r>
      <w:proofErr w:type="spellStart"/>
      <w:r w:rsidRPr="009D5004">
        <w:rPr>
          <w:rFonts w:asciiTheme="minorHAnsi" w:hAnsiTheme="minorHAnsi"/>
        </w:rPr>
        <w:t>Proctora</w:t>
      </w:r>
      <w:proofErr w:type="spellEnd"/>
      <w:r w:rsidRPr="009D5004">
        <w:rPr>
          <w:rFonts w:asciiTheme="minorHAnsi" w:hAnsiTheme="minorHAnsi"/>
        </w:rPr>
        <w:t>, według PN-B-04481 (metoda II).</w:t>
      </w:r>
    </w:p>
    <w:p w:rsidR="009D5004" w:rsidRPr="009D5004" w:rsidRDefault="009D5004" w:rsidP="009D5004">
      <w:pPr>
        <w:tabs>
          <w:tab w:val="left" w:pos="426"/>
        </w:tabs>
        <w:spacing w:after="0"/>
        <w:jc w:val="both"/>
        <w:rPr>
          <w:rFonts w:asciiTheme="minorHAnsi" w:hAnsiTheme="minorHAnsi"/>
        </w:rPr>
      </w:pPr>
      <w:r w:rsidRPr="009D5004">
        <w:rPr>
          <w:rFonts w:asciiTheme="minorHAnsi" w:hAnsiTheme="minorHAnsi"/>
        </w:rPr>
        <w:t xml:space="preserve">Zagęszczenie podbudowy należy sprawdzać wg BN-77/8931-12. W przypadku gdy przeprowadzenie badania zagęszczenia według metody </w:t>
      </w:r>
      <w:proofErr w:type="spellStart"/>
      <w:r w:rsidRPr="009D5004">
        <w:rPr>
          <w:rFonts w:asciiTheme="minorHAnsi" w:hAnsiTheme="minorHAnsi"/>
        </w:rPr>
        <w:t>Proctora</w:t>
      </w:r>
      <w:proofErr w:type="spellEnd"/>
      <w:r w:rsidRPr="009D5004">
        <w:rPr>
          <w:rFonts w:asciiTheme="minorHAnsi" w:hAnsiTheme="minorHAnsi"/>
        </w:rPr>
        <w:t xml:space="preserve"> jest niemożliwe, ze względu na gruboziarniste uziarnienie kruszywa kontrolę zagęszczenie należy oprzeć na metodzie obciążeń płytowych, według Instrukcji badań podłoża gruntowego Część II i nie rzadziej niż raz na 1000 m</w:t>
      </w:r>
      <w:r w:rsidRPr="009D5004">
        <w:rPr>
          <w:rFonts w:asciiTheme="minorHAnsi" w:hAnsiTheme="minorHAnsi"/>
          <w:vertAlign w:val="superscript"/>
        </w:rPr>
        <w:t>2</w:t>
      </w:r>
      <w:r w:rsidRPr="009D5004">
        <w:rPr>
          <w:rFonts w:asciiTheme="minorHAnsi" w:hAnsiTheme="minorHAnsi"/>
        </w:rPr>
        <w:t xml:space="preserve"> lub według zaleceń Inżyniera.</w:t>
      </w:r>
    </w:p>
    <w:p w:rsidR="009D5004" w:rsidRPr="009D5004" w:rsidRDefault="009D5004" w:rsidP="009D5004">
      <w:pPr>
        <w:tabs>
          <w:tab w:val="left" w:pos="426"/>
        </w:tabs>
        <w:spacing w:after="0"/>
        <w:jc w:val="both"/>
        <w:rPr>
          <w:rFonts w:asciiTheme="minorHAnsi" w:hAnsiTheme="minorHAnsi"/>
        </w:rPr>
      </w:pPr>
      <w:r w:rsidRPr="009D5004">
        <w:rPr>
          <w:rFonts w:asciiTheme="minorHAnsi" w:hAnsiTheme="minorHAnsi"/>
        </w:rPr>
        <w:t>Zagęszczenie podbudowy stabilizowanej mechanicznie należy uznać za prawidłowe, gdy stosunek wtórnego modułu E</w:t>
      </w:r>
      <w:r w:rsidRPr="009D5004">
        <w:rPr>
          <w:rFonts w:asciiTheme="minorHAnsi" w:hAnsiTheme="minorHAnsi"/>
          <w:vertAlign w:val="subscript"/>
        </w:rPr>
        <w:t>2</w:t>
      </w:r>
      <w:r w:rsidRPr="009D5004">
        <w:rPr>
          <w:rFonts w:asciiTheme="minorHAnsi" w:hAnsiTheme="minorHAnsi"/>
        </w:rPr>
        <w:t xml:space="preserve"> do pierwotnego modułu odkształcenia E</w:t>
      </w:r>
      <w:r w:rsidRPr="009D5004">
        <w:rPr>
          <w:rFonts w:asciiTheme="minorHAnsi" w:hAnsiTheme="minorHAnsi"/>
          <w:vertAlign w:val="subscript"/>
        </w:rPr>
        <w:t>1</w:t>
      </w:r>
      <w:r w:rsidRPr="009D5004">
        <w:rPr>
          <w:rFonts w:asciiTheme="minorHAnsi" w:hAnsiTheme="minorHAnsi"/>
        </w:rPr>
        <w:t xml:space="preserve"> jest nie większy od 2,2 dla każdej warstwy podbudowy.</w:t>
      </w:r>
    </w:p>
    <w:p w:rsidR="009D5004" w:rsidRPr="009D5004" w:rsidRDefault="009D5004" w:rsidP="009D5004">
      <w:pPr>
        <w:pStyle w:val="tekstost"/>
        <w:spacing w:line="276" w:lineRule="auto"/>
        <w:rPr>
          <w:rFonts w:asciiTheme="minorHAnsi" w:hAnsiTheme="minorHAnsi"/>
          <w:b/>
          <w:sz w:val="22"/>
          <w:szCs w:val="22"/>
        </w:rPr>
      </w:pPr>
      <w:r w:rsidRPr="009D5004">
        <w:rPr>
          <w:rFonts w:asciiTheme="minorHAnsi" w:hAnsiTheme="minorHAnsi"/>
          <w:b/>
          <w:sz w:val="22"/>
          <w:szCs w:val="22"/>
        </w:rPr>
        <w:t>Właściwości kruszywa</w:t>
      </w:r>
    </w:p>
    <w:p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lastRenderedPageBreak/>
        <w:t>Badania kruszywa powinny obejmować ocenę wszystkich właściwości określonych w pkt 2.3.2.</w:t>
      </w:r>
    </w:p>
    <w:p w:rsidR="00D87F29" w:rsidRPr="009D5004" w:rsidRDefault="009D5004" w:rsidP="009D5004">
      <w:pPr>
        <w:spacing w:after="0"/>
        <w:jc w:val="both"/>
        <w:rPr>
          <w:rFonts w:asciiTheme="minorHAnsi" w:hAnsiTheme="minorHAnsi" w:cs="Calibri"/>
          <w:bCs/>
        </w:rPr>
      </w:pPr>
      <w:r w:rsidRPr="009D5004">
        <w:rPr>
          <w:rFonts w:asciiTheme="minorHAnsi" w:hAnsiTheme="minorHAnsi"/>
        </w:rPr>
        <w:t>Próbki do badań pełnych powinny być pobierane przez Wykonawcę w sposób losowy w obecności Inżyniera.</w:t>
      </w:r>
    </w:p>
    <w:p w:rsidR="009D5004" w:rsidRPr="009D5004" w:rsidRDefault="009D5004" w:rsidP="009D5004">
      <w:pPr>
        <w:pStyle w:val="Akapitzlist"/>
        <w:numPr>
          <w:ilvl w:val="1"/>
          <w:numId w:val="18"/>
        </w:numPr>
        <w:spacing w:after="0"/>
        <w:jc w:val="both"/>
        <w:rPr>
          <w:rFonts w:cs="Calibri"/>
          <w:b/>
          <w:bCs/>
        </w:rPr>
      </w:pPr>
      <w:r w:rsidRPr="009D5004">
        <w:rPr>
          <w:rFonts w:cs="Calibri"/>
          <w:b/>
          <w:bCs/>
        </w:rPr>
        <w:t xml:space="preserve">Wymagania dotyczące cech geometrycznych podbudowy </w:t>
      </w:r>
    </w:p>
    <w:p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Częstotliwość oraz zakres pomiarów</w:t>
      </w:r>
    </w:p>
    <w:p w:rsidR="009D5004" w:rsidRPr="009D5004" w:rsidRDefault="009D5004" w:rsidP="009D5004">
      <w:pPr>
        <w:spacing w:after="0"/>
        <w:jc w:val="both"/>
        <w:rPr>
          <w:rFonts w:asciiTheme="minorHAnsi" w:hAnsiTheme="minorHAnsi" w:cs="Calibri"/>
          <w:bCs/>
        </w:rPr>
      </w:pPr>
    </w:p>
    <w:p w:rsidR="00D87F29" w:rsidRPr="009D5004" w:rsidRDefault="009D5004" w:rsidP="009D5004">
      <w:pPr>
        <w:spacing w:after="0"/>
        <w:jc w:val="both"/>
        <w:rPr>
          <w:rFonts w:asciiTheme="minorHAnsi" w:hAnsiTheme="minorHAnsi" w:cs="Calibri"/>
          <w:bCs/>
          <w:sz w:val="18"/>
          <w:szCs w:val="18"/>
        </w:rPr>
      </w:pPr>
      <w:r w:rsidRPr="009D5004">
        <w:rPr>
          <w:rFonts w:asciiTheme="minorHAnsi" w:hAnsiTheme="minorHAnsi" w:cs="Calibri"/>
          <w:bCs/>
          <w:sz w:val="18"/>
          <w:szCs w:val="18"/>
        </w:rPr>
        <w:t>Tablica 3. Częstotliwość oraz zakres pomiarów wykonanej podbudowy z kruszywa stabilizowanego mechanicznie</w:t>
      </w:r>
    </w:p>
    <w:tbl>
      <w:tblPr>
        <w:tblW w:w="943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7"/>
        <w:gridCol w:w="3467"/>
        <w:gridCol w:w="5326"/>
      </w:tblGrid>
      <w:tr w:rsidR="009D5004" w:rsidRPr="009D5004" w:rsidTr="00CD6600">
        <w:tc>
          <w:tcPr>
            <w:tcW w:w="637" w:type="dxa"/>
            <w:tcBorders>
              <w:top w:val="double" w:sz="4" w:space="0" w:color="auto"/>
              <w:bottom w:val="double" w:sz="4" w:space="0" w:color="auto"/>
            </w:tcBorders>
            <w:noWrap/>
          </w:tcPr>
          <w:p w:rsidR="009D5004" w:rsidRPr="009D5004" w:rsidRDefault="009D5004" w:rsidP="009D5004">
            <w:pPr>
              <w:overflowPunct w:val="0"/>
              <w:autoSpaceDE w:val="0"/>
              <w:autoSpaceDN w:val="0"/>
              <w:adjustRightInd w:val="0"/>
              <w:spacing w:after="0"/>
              <w:ind w:right="-11"/>
              <w:jc w:val="center"/>
              <w:rPr>
                <w:b/>
              </w:rPr>
            </w:pPr>
            <w:r w:rsidRPr="009D5004">
              <w:t>Lp.</w:t>
            </w:r>
          </w:p>
        </w:tc>
        <w:tc>
          <w:tcPr>
            <w:tcW w:w="3467" w:type="dxa"/>
            <w:tcBorders>
              <w:top w:val="double" w:sz="4" w:space="0" w:color="auto"/>
              <w:bottom w:val="double" w:sz="4" w:space="0" w:color="auto"/>
            </w:tcBorders>
            <w:noWrap/>
          </w:tcPr>
          <w:p w:rsidR="009D5004" w:rsidRPr="009D5004" w:rsidRDefault="009D5004" w:rsidP="009D5004">
            <w:pPr>
              <w:overflowPunct w:val="0"/>
              <w:autoSpaceDE w:val="0"/>
              <w:autoSpaceDN w:val="0"/>
              <w:adjustRightInd w:val="0"/>
              <w:spacing w:after="0"/>
              <w:ind w:right="-11"/>
              <w:jc w:val="center"/>
              <w:rPr>
                <w:b/>
              </w:rPr>
            </w:pPr>
            <w:r w:rsidRPr="009D5004">
              <w:t>Wyszczególnienie badań i pomiarów</w:t>
            </w:r>
          </w:p>
        </w:tc>
        <w:tc>
          <w:tcPr>
            <w:tcW w:w="5326" w:type="dxa"/>
            <w:tcBorders>
              <w:top w:val="double" w:sz="4" w:space="0" w:color="auto"/>
              <w:bottom w:val="double" w:sz="4" w:space="0" w:color="auto"/>
            </w:tcBorders>
            <w:noWrap/>
          </w:tcPr>
          <w:p w:rsidR="009D5004" w:rsidRPr="009D5004" w:rsidRDefault="009D5004" w:rsidP="009D5004">
            <w:pPr>
              <w:overflowPunct w:val="0"/>
              <w:autoSpaceDE w:val="0"/>
              <w:autoSpaceDN w:val="0"/>
              <w:adjustRightInd w:val="0"/>
              <w:spacing w:after="0"/>
              <w:ind w:right="-11"/>
              <w:jc w:val="center"/>
              <w:rPr>
                <w:b/>
              </w:rPr>
            </w:pPr>
            <w:r w:rsidRPr="009D5004">
              <w:t>Minimalna częstotliwość pomiarów</w:t>
            </w:r>
          </w:p>
        </w:tc>
      </w:tr>
      <w:tr w:rsidR="009D5004" w:rsidRPr="009D5004" w:rsidTr="00CD6600">
        <w:tc>
          <w:tcPr>
            <w:tcW w:w="637" w:type="dxa"/>
            <w:tcBorders>
              <w:top w:val="double" w:sz="4" w:space="0" w:color="auto"/>
            </w:tcBorders>
            <w:noWrap/>
          </w:tcPr>
          <w:p w:rsidR="009D5004" w:rsidRPr="009D5004" w:rsidRDefault="009D5004" w:rsidP="009D5004">
            <w:pPr>
              <w:overflowPunct w:val="0"/>
              <w:autoSpaceDE w:val="0"/>
              <w:autoSpaceDN w:val="0"/>
              <w:adjustRightInd w:val="0"/>
              <w:spacing w:after="0"/>
              <w:ind w:right="-14"/>
              <w:jc w:val="center"/>
              <w:rPr>
                <w:b/>
              </w:rPr>
            </w:pPr>
            <w:r w:rsidRPr="009D5004">
              <w:t>1</w:t>
            </w:r>
          </w:p>
        </w:tc>
        <w:tc>
          <w:tcPr>
            <w:tcW w:w="3467" w:type="dxa"/>
            <w:tcBorders>
              <w:top w:val="double" w:sz="4" w:space="0" w:color="auto"/>
            </w:tcBorders>
            <w:noWrap/>
          </w:tcPr>
          <w:p w:rsidR="009D5004" w:rsidRPr="009D5004" w:rsidRDefault="009D5004" w:rsidP="009D5004">
            <w:pPr>
              <w:overflowPunct w:val="0"/>
              <w:autoSpaceDE w:val="0"/>
              <w:autoSpaceDN w:val="0"/>
              <w:adjustRightInd w:val="0"/>
              <w:spacing w:after="0"/>
              <w:ind w:right="-14"/>
              <w:jc w:val="both"/>
              <w:rPr>
                <w:b/>
              </w:rPr>
            </w:pPr>
            <w:r w:rsidRPr="009D5004">
              <w:t xml:space="preserve">Szerokość podbudowy </w:t>
            </w:r>
          </w:p>
        </w:tc>
        <w:tc>
          <w:tcPr>
            <w:tcW w:w="5326" w:type="dxa"/>
            <w:tcBorders>
              <w:top w:val="double" w:sz="4" w:space="0" w:color="auto"/>
            </w:tcBorders>
            <w:noWrap/>
          </w:tcPr>
          <w:p w:rsidR="009D5004" w:rsidRPr="009D5004" w:rsidRDefault="009D5004" w:rsidP="009D5004">
            <w:pPr>
              <w:overflowPunct w:val="0"/>
              <w:autoSpaceDE w:val="0"/>
              <w:autoSpaceDN w:val="0"/>
              <w:adjustRightInd w:val="0"/>
              <w:spacing w:after="0"/>
              <w:ind w:right="-14"/>
              <w:jc w:val="both"/>
              <w:rPr>
                <w:b/>
              </w:rPr>
            </w:pPr>
            <w:r w:rsidRPr="009D5004">
              <w:t>10 razy na 1 km</w:t>
            </w:r>
          </w:p>
        </w:tc>
      </w:tr>
      <w:tr w:rsidR="009D5004" w:rsidRPr="009D5004" w:rsidTr="00CD6600">
        <w:tc>
          <w:tcPr>
            <w:tcW w:w="637" w:type="dxa"/>
            <w:noWrap/>
          </w:tcPr>
          <w:p w:rsidR="009D5004" w:rsidRPr="009D5004" w:rsidRDefault="009D5004" w:rsidP="009D5004">
            <w:pPr>
              <w:overflowPunct w:val="0"/>
              <w:autoSpaceDE w:val="0"/>
              <w:autoSpaceDN w:val="0"/>
              <w:adjustRightInd w:val="0"/>
              <w:spacing w:after="0"/>
              <w:ind w:right="-11"/>
              <w:jc w:val="center"/>
              <w:rPr>
                <w:b/>
              </w:rPr>
            </w:pPr>
            <w:r w:rsidRPr="009D5004">
              <w:t>2</w:t>
            </w:r>
          </w:p>
        </w:tc>
        <w:tc>
          <w:tcPr>
            <w:tcW w:w="3467" w:type="dxa"/>
            <w:noWrap/>
          </w:tcPr>
          <w:p w:rsidR="009D5004" w:rsidRPr="009D5004" w:rsidRDefault="009D5004" w:rsidP="009D5004">
            <w:pPr>
              <w:overflowPunct w:val="0"/>
              <w:autoSpaceDE w:val="0"/>
              <w:autoSpaceDN w:val="0"/>
              <w:adjustRightInd w:val="0"/>
              <w:spacing w:after="0"/>
              <w:ind w:right="-11"/>
              <w:jc w:val="both"/>
              <w:rPr>
                <w:b/>
              </w:rPr>
            </w:pPr>
            <w:r w:rsidRPr="009D5004">
              <w:t>Równość podłużna</w:t>
            </w:r>
          </w:p>
        </w:tc>
        <w:tc>
          <w:tcPr>
            <w:tcW w:w="5326" w:type="dxa"/>
            <w:noWrap/>
          </w:tcPr>
          <w:p w:rsidR="009D5004" w:rsidRPr="009D5004" w:rsidRDefault="009D5004" w:rsidP="009D5004">
            <w:pPr>
              <w:overflowPunct w:val="0"/>
              <w:autoSpaceDE w:val="0"/>
              <w:autoSpaceDN w:val="0"/>
              <w:adjustRightInd w:val="0"/>
              <w:spacing w:after="0"/>
              <w:ind w:right="-11"/>
              <w:jc w:val="both"/>
              <w:rPr>
                <w:b/>
              </w:rPr>
            </w:pPr>
            <w:r w:rsidRPr="009D5004">
              <w:t xml:space="preserve">w sposób ciągły </w:t>
            </w:r>
            <w:proofErr w:type="spellStart"/>
            <w:r w:rsidRPr="009D5004">
              <w:t>planografem</w:t>
            </w:r>
            <w:proofErr w:type="spellEnd"/>
            <w:r w:rsidRPr="009D5004">
              <w:t xml:space="preserve"> albo co 20 m łatą na każdym pasie ruchu</w:t>
            </w:r>
          </w:p>
        </w:tc>
      </w:tr>
      <w:tr w:rsidR="009D5004" w:rsidRPr="009D5004" w:rsidTr="00CD6600">
        <w:tc>
          <w:tcPr>
            <w:tcW w:w="637" w:type="dxa"/>
            <w:noWrap/>
          </w:tcPr>
          <w:p w:rsidR="009D5004" w:rsidRPr="009D5004" w:rsidRDefault="009D5004" w:rsidP="009D5004">
            <w:pPr>
              <w:overflowPunct w:val="0"/>
              <w:autoSpaceDE w:val="0"/>
              <w:autoSpaceDN w:val="0"/>
              <w:adjustRightInd w:val="0"/>
              <w:spacing w:after="0"/>
              <w:ind w:right="-14"/>
              <w:jc w:val="center"/>
              <w:rPr>
                <w:b/>
              </w:rPr>
            </w:pPr>
            <w:r w:rsidRPr="009D5004">
              <w:t>3</w:t>
            </w:r>
          </w:p>
        </w:tc>
        <w:tc>
          <w:tcPr>
            <w:tcW w:w="3467" w:type="dxa"/>
            <w:noWrap/>
          </w:tcPr>
          <w:p w:rsidR="009D5004" w:rsidRPr="009D5004" w:rsidRDefault="009D5004" w:rsidP="009D5004">
            <w:pPr>
              <w:overflowPunct w:val="0"/>
              <w:autoSpaceDE w:val="0"/>
              <w:autoSpaceDN w:val="0"/>
              <w:adjustRightInd w:val="0"/>
              <w:spacing w:after="0"/>
              <w:ind w:right="-14"/>
              <w:jc w:val="both"/>
              <w:rPr>
                <w:b/>
              </w:rPr>
            </w:pPr>
            <w:r w:rsidRPr="009D5004">
              <w:t>Równość poprzeczna</w:t>
            </w:r>
          </w:p>
        </w:tc>
        <w:tc>
          <w:tcPr>
            <w:tcW w:w="5326" w:type="dxa"/>
            <w:noWrap/>
          </w:tcPr>
          <w:p w:rsidR="009D5004" w:rsidRPr="009D5004" w:rsidRDefault="009D5004" w:rsidP="009D5004">
            <w:pPr>
              <w:overflowPunct w:val="0"/>
              <w:autoSpaceDE w:val="0"/>
              <w:autoSpaceDN w:val="0"/>
              <w:adjustRightInd w:val="0"/>
              <w:spacing w:after="0"/>
              <w:ind w:right="-14"/>
              <w:jc w:val="both"/>
              <w:rPr>
                <w:b/>
              </w:rPr>
            </w:pPr>
            <w:r w:rsidRPr="009D5004">
              <w:t>10 razy na 1 km</w:t>
            </w:r>
          </w:p>
        </w:tc>
      </w:tr>
      <w:tr w:rsidR="009D5004" w:rsidRPr="009D5004" w:rsidTr="00CD6600">
        <w:tc>
          <w:tcPr>
            <w:tcW w:w="637" w:type="dxa"/>
            <w:noWrap/>
          </w:tcPr>
          <w:p w:rsidR="009D5004" w:rsidRPr="009D5004" w:rsidRDefault="009D5004" w:rsidP="009D5004">
            <w:pPr>
              <w:overflowPunct w:val="0"/>
              <w:autoSpaceDE w:val="0"/>
              <w:autoSpaceDN w:val="0"/>
              <w:adjustRightInd w:val="0"/>
              <w:spacing w:after="0"/>
              <w:ind w:right="-14"/>
              <w:jc w:val="center"/>
              <w:rPr>
                <w:b/>
              </w:rPr>
            </w:pPr>
            <w:r w:rsidRPr="009D5004">
              <w:t>4</w:t>
            </w:r>
          </w:p>
        </w:tc>
        <w:tc>
          <w:tcPr>
            <w:tcW w:w="3467" w:type="dxa"/>
            <w:noWrap/>
          </w:tcPr>
          <w:p w:rsidR="009D5004" w:rsidRPr="009D5004" w:rsidRDefault="009D5004" w:rsidP="009D5004">
            <w:pPr>
              <w:overflowPunct w:val="0"/>
              <w:autoSpaceDE w:val="0"/>
              <w:autoSpaceDN w:val="0"/>
              <w:adjustRightInd w:val="0"/>
              <w:spacing w:after="0"/>
              <w:ind w:right="-14"/>
              <w:jc w:val="both"/>
              <w:rPr>
                <w:b/>
              </w:rPr>
            </w:pPr>
            <w:r w:rsidRPr="009D5004">
              <w:t>Spadki poprzeczne*</w:t>
            </w:r>
            <w:r w:rsidRPr="009D5004">
              <w:rPr>
                <w:vertAlign w:val="superscript"/>
              </w:rPr>
              <w:t>)</w:t>
            </w:r>
          </w:p>
        </w:tc>
        <w:tc>
          <w:tcPr>
            <w:tcW w:w="5326" w:type="dxa"/>
            <w:noWrap/>
          </w:tcPr>
          <w:p w:rsidR="009D5004" w:rsidRPr="009D5004" w:rsidRDefault="009D5004" w:rsidP="009D5004">
            <w:pPr>
              <w:overflowPunct w:val="0"/>
              <w:autoSpaceDE w:val="0"/>
              <w:autoSpaceDN w:val="0"/>
              <w:adjustRightInd w:val="0"/>
              <w:spacing w:after="0"/>
              <w:ind w:right="-14"/>
              <w:jc w:val="both"/>
              <w:rPr>
                <w:b/>
              </w:rPr>
            </w:pPr>
            <w:r w:rsidRPr="009D5004">
              <w:t>10 razy na 1 km</w:t>
            </w:r>
          </w:p>
        </w:tc>
      </w:tr>
      <w:tr w:rsidR="009D5004" w:rsidRPr="009D5004" w:rsidTr="00CD6600">
        <w:tc>
          <w:tcPr>
            <w:tcW w:w="637" w:type="dxa"/>
            <w:noWrap/>
          </w:tcPr>
          <w:p w:rsidR="009D5004" w:rsidRPr="009D5004" w:rsidRDefault="009D5004" w:rsidP="009D5004">
            <w:pPr>
              <w:overflowPunct w:val="0"/>
              <w:autoSpaceDE w:val="0"/>
              <w:autoSpaceDN w:val="0"/>
              <w:adjustRightInd w:val="0"/>
              <w:spacing w:after="0"/>
              <w:ind w:right="-11"/>
              <w:jc w:val="center"/>
              <w:rPr>
                <w:b/>
              </w:rPr>
            </w:pPr>
            <w:r w:rsidRPr="009D5004">
              <w:t>5</w:t>
            </w:r>
          </w:p>
        </w:tc>
        <w:tc>
          <w:tcPr>
            <w:tcW w:w="3467" w:type="dxa"/>
            <w:noWrap/>
          </w:tcPr>
          <w:p w:rsidR="009D5004" w:rsidRPr="009D5004" w:rsidRDefault="009D5004" w:rsidP="009D5004">
            <w:pPr>
              <w:overflowPunct w:val="0"/>
              <w:autoSpaceDE w:val="0"/>
              <w:autoSpaceDN w:val="0"/>
              <w:adjustRightInd w:val="0"/>
              <w:spacing w:after="0"/>
              <w:ind w:right="-11"/>
              <w:jc w:val="both"/>
              <w:rPr>
                <w:b/>
              </w:rPr>
            </w:pPr>
            <w:r w:rsidRPr="009D5004">
              <w:t>Rzędne wysokościowe</w:t>
            </w:r>
          </w:p>
        </w:tc>
        <w:tc>
          <w:tcPr>
            <w:tcW w:w="5326" w:type="dxa"/>
            <w:noWrap/>
          </w:tcPr>
          <w:p w:rsidR="009D5004" w:rsidRPr="009D5004" w:rsidRDefault="009D5004" w:rsidP="009D5004">
            <w:pPr>
              <w:overflowPunct w:val="0"/>
              <w:autoSpaceDE w:val="0"/>
              <w:autoSpaceDN w:val="0"/>
              <w:adjustRightInd w:val="0"/>
              <w:spacing w:after="0"/>
              <w:ind w:right="-11"/>
              <w:jc w:val="both"/>
            </w:pPr>
            <w:r w:rsidRPr="009D5004">
              <w:t>co 20 m, a n odcinkach krzywoliniowych co 10m</w:t>
            </w:r>
          </w:p>
        </w:tc>
      </w:tr>
      <w:tr w:rsidR="009D5004" w:rsidRPr="009D5004" w:rsidTr="00CD6600">
        <w:tc>
          <w:tcPr>
            <w:tcW w:w="637" w:type="dxa"/>
            <w:noWrap/>
          </w:tcPr>
          <w:p w:rsidR="009D5004" w:rsidRPr="009D5004" w:rsidRDefault="009D5004" w:rsidP="009D5004">
            <w:pPr>
              <w:overflowPunct w:val="0"/>
              <w:autoSpaceDE w:val="0"/>
              <w:autoSpaceDN w:val="0"/>
              <w:adjustRightInd w:val="0"/>
              <w:spacing w:after="0"/>
              <w:ind w:right="-14"/>
              <w:jc w:val="center"/>
              <w:rPr>
                <w:b/>
              </w:rPr>
            </w:pPr>
            <w:r w:rsidRPr="009D5004">
              <w:t>6</w:t>
            </w:r>
          </w:p>
        </w:tc>
        <w:tc>
          <w:tcPr>
            <w:tcW w:w="3467" w:type="dxa"/>
            <w:noWrap/>
          </w:tcPr>
          <w:p w:rsidR="009D5004" w:rsidRPr="009D5004" w:rsidRDefault="009D5004" w:rsidP="009D5004">
            <w:pPr>
              <w:overflowPunct w:val="0"/>
              <w:autoSpaceDE w:val="0"/>
              <w:autoSpaceDN w:val="0"/>
              <w:adjustRightInd w:val="0"/>
              <w:spacing w:after="0"/>
              <w:ind w:right="-14"/>
              <w:jc w:val="both"/>
              <w:rPr>
                <w:b/>
              </w:rPr>
            </w:pPr>
            <w:r w:rsidRPr="009D5004">
              <w:t>Ukształtowanie osi w planie*</w:t>
            </w:r>
            <w:r w:rsidRPr="009D5004">
              <w:rPr>
                <w:vertAlign w:val="superscript"/>
              </w:rPr>
              <w:t>)</w:t>
            </w:r>
          </w:p>
        </w:tc>
        <w:tc>
          <w:tcPr>
            <w:tcW w:w="5326" w:type="dxa"/>
            <w:noWrap/>
          </w:tcPr>
          <w:p w:rsidR="009D5004" w:rsidRPr="009D5004" w:rsidRDefault="009D5004" w:rsidP="009D5004">
            <w:pPr>
              <w:overflowPunct w:val="0"/>
              <w:autoSpaceDE w:val="0"/>
              <w:autoSpaceDN w:val="0"/>
              <w:adjustRightInd w:val="0"/>
              <w:spacing w:after="0"/>
              <w:ind w:right="-11"/>
              <w:rPr>
                <w:b/>
              </w:rPr>
            </w:pPr>
            <w:r w:rsidRPr="009D5004">
              <w:t>co 100 m</w:t>
            </w:r>
          </w:p>
        </w:tc>
      </w:tr>
      <w:tr w:rsidR="009D5004" w:rsidRPr="009D5004" w:rsidTr="00CD6600">
        <w:tc>
          <w:tcPr>
            <w:tcW w:w="637" w:type="dxa"/>
            <w:noWrap/>
          </w:tcPr>
          <w:p w:rsidR="009D5004" w:rsidRPr="009D5004" w:rsidRDefault="009D5004" w:rsidP="009D5004">
            <w:pPr>
              <w:overflowPunct w:val="0"/>
              <w:autoSpaceDE w:val="0"/>
              <w:autoSpaceDN w:val="0"/>
              <w:adjustRightInd w:val="0"/>
              <w:spacing w:after="0"/>
              <w:ind w:right="-11"/>
              <w:jc w:val="center"/>
              <w:rPr>
                <w:b/>
              </w:rPr>
            </w:pPr>
            <w:r w:rsidRPr="009D5004">
              <w:t>7</w:t>
            </w:r>
          </w:p>
        </w:tc>
        <w:tc>
          <w:tcPr>
            <w:tcW w:w="3467" w:type="dxa"/>
            <w:noWrap/>
          </w:tcPr>
          <w:p w:rsidR="009D5004" w:rsidRPr="009D5004" w:rsidRDefault="009D5004" w:rsidP="009D5004">
            <w:pPr>
              <w:overflowPunct w:val="0"/>
              <w:autoSpaceDE w:val="0"/>
              <w:autoSpaceDN w:val="0"/>
              <w:adjustRightInd w:val="0"/>
              <w:spacing w:after="0"/>
              <w:ind w:right="-11"/>
              <w:jc w:val="both"/>
              <w:rPr>
                <w:b/>
              </w:rPr>
            </w:pPr>
            <w:r w:rsidRPr="009D5004">
              <w:t xml:space="preserve">Grubość podbudowy </w:t>
            </w:r>
          </w:p>
        </w:tc>
        <w:tc>
          <w:tcPr>
            <w:tcW w:w="5326" w:type="dxa"/>
            <w:noWrap/>
          </w:tcPr>
          <w:p w:rsidR="009D5004" w:rsidRPr="009D5004" w:rsidRDefault="009D5004" w:rsidP="009D5004">
            <w:pPr>
              <w:spacing w:after="0"/>
              <w:ind w:right="-11"/>
            </w:pPr>
            <w:r w:rsidRPr="009D5004">
              <w:t>Podczas budowy:</w:t>
            </w:r>
          </w:p>
          <w:p w:rsidR="009D5004" w:rsidRPr="009D5004" w:rsidRDefault="009D5004" w:rsidP="009D5004">
            <w:pPr>
              <w:spacing w:after="0"/>
              <w:ind w:right="-11"/>
            </w:pPr>
            <w:r w:rsidRPr="009D5004">
              <w:t>w 3 punktach na każdej działce roboczej, lecz nie rzadziej niż raz na 400 m</w:t>
            </w:r>
            <w:r w:rsidRPr="009D5004">
              <w:rPr>
                <w:vertAlign w:val="superscript"/>
              </w:rPr>
              <w:t>2</w:t>
            </w:r>
          </w:p>
          <w:p w:rsidR="009D5004" w:rsidRPr="009D5004" w:rsidRDefault="009D5004" w:rsidP="009D5004">
            <w:pPr>
              <w:spacing w:after="0"/>
              <w:ind w:right="-11"/>
            </w:pPr>
            <w:r w:rsidRPr="009D5004">
              <w:t>Przed odbiorem:</w:t>
            </w:r>
          </w:p>
          <w:p w:rsidR="009D5004" w:rsidRPr="009D5004" w:rsidRDefault="009D5004" w:rsidP="009D5004">
            <w:pPr>
              <w:overflowPunct w:val="0"/>
              <w:autoSpaceDE w:val="0"/>
              <w:autoSpaceDN w:val="0"/>
              <w:adjustRightInd w:val="0"/>
              <w:spacing w:after="0"/>
              <w:ind w:right="-11"/>
              <w:jc w:val="both"/>
              <w:rPr>
                <w:b/>
              </w:rPr>
            </w:pPr>
            <w:r w:rsidRPr="009D5004">
              <w:t>w 3 punktach, lecz nie rzadziej niż raz na 2000 m</w:t>
            </w:r>
            <w:r w:rsidRPr="009D5004">
              <w:rPr>
                <w:vertAlign w:val="superscript"/>
              </w:rPr>
              <w:t>2</w:t>
            </w:r>
          </w:p>
        </w:tc>
      </w:tr>
      <w:tr w:rsidR="009D5004" w:rsidRPr="009D5004" w:rsidTr="00CD6600">
        <w:tc>
          <w:tcPr>
            <w:tcW w:w="637" w:type="dxa"/>
            <w:noWrap/>
          </w:tcPr>
          <w:p w:rsidR="009D5004" w:rsidRPr="009D5004" w:rsidRDefault="009D5004" w:rsidP="009D5004">
            <w:pPr>
              <w:overflowPunct w:val="0"/>
              <w:autoSpaceDE w:val="0"/>
              <w:autoSpaceDN w:val="0"/>
              <w:adjustRightInd w:val="0"/>
              <w:spacing w:after="0"/>
              <w:ind w:right="-11"/>
              <w:jc w:val="center"/>
            </w:pPr>
            <w:r w:rsidRPr="009D5004">
              <w:t>8</w:t>
            </w:r>
          </w:p>
        </w:tc>
        <w:tc>
          <w:tcPr>
            <w:tcW w:w="3467" w:type="dxa"/>
            <w:noWrap/>
          </w:tcPr>
          <w:p w:rsidR="009D5004" w:rsidRPr="009D5004" w:rsidRDefault="009D5004" w:rsidP="009D5004">
            <w:pPr>
              <w:spacing w:after="0"/>
              <w:ind w:right="-11"/>
            </w:pPr>
            <w:r w:rsidRPr="009D5004">
              <w:t>Nośność podbudowy:</w:t>
            </w:r>
          </w:p>
          <w:p w:rsidR="009D5004" w:rsidRPr="009D5004" w:rsidRDefault="009D5004" w:rsidP="009D5004">
            <w:pPr>
              <w:spacing w:after="0"/>
              <w:ind w:right="-11"/>
            </w:pPr>
            <w:r w:rsidRPr="009D5004">
              <w:t>- moduł odkształcenia</w:t>
            </w:r>
          </w:p>
        </w:tc>
        <w:tc>
          <w:tcPr>
            <w:tcW w:w="5326" w:type="dxa"/>
            <w:noWrap/>
          </w:tcPr>
          <w:p w:rsidR="009D5004" w:rsidRPr="009D5004" w:rsidRDefault="009D5004" w:rsidP="009D5004">
            <w:pPr>
              <w:spacing w:after="0"/>
              <w:ind w:right="-11"/>
            </w:pPr>
            <w:r w:rsidRPr="009D5004">
              <w:t> </w:t>
            </w:r>
          </w:p>
          <w:p w:rsidR="009D5004" w:rsidRPr="009D5004" w:rsidRDefault="009D5004" w:rsidP="009D5004">
            <w:pPr>
              <w:spacing w:after="0"/>
              <w:ind w:right="-11"/>
            </w:pPr>
            <w:r w:rsidRPr="009D5004">
              <w:t>co najmniej w dwóch przekrojach na każde 1000 m</w:t>
            </w:r>
          </w:p>
        </w:tc>
      </w:tr>
    </w:tbl>
    <w:p w:rsidR="009D5004" w:rsidRPr="009D5004" w:rsidRDefault="009D5004" w:rsidP="009D5004">
      <w:pPr>
        <w:spacing w:after="0"/>
        <w:ind w:left="284" w:right="-11" w:hanging="284"/>
        <w:jc w:val="both"/>
        <w:rPr>
          <w:sz w:val="18"/>
          <w:szCs w:val="18"/>
        </w:rPr>
      </w:pPr>
      <w:r w:rsidRPr="009D5004">
        <w:rPr>
          <w:sz w:val="18"/>
          <w:szCs w:val="18"/>
        </w:rPr>
        <w:t>*) Dodatkowe pomiary spadków poprzecznych i ukształtowania osi w planie należy wykonać w punktach głównych łuków poziomych.</w:t>
      </w:r>
    </w:p>
    <w:p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 xml:space="preserve">Szerokość podbudowy </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Szerokość podbudowy nie może różnić się od szerokości projektowanej o więcej niż +10 cm, -5 cm.</w:t>
      </w:r>
    </w:p>
    <w:p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 xml:space="preserve">Równość podbudowy </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 xml:space="preserve">Nierówności podłużne podbudowy należy mierzyć 4-metrową łatą lub </w:t>
      </w:r>
      <w:proofErr w:type="spellStart"/>
      <w:r w:rsidRPr="009D5004">
        <w:rPr>
          <w:rFonts w:asciiTheme="minorHAnsi" w:hAnsiTheme="minorHAnsi" w:cs="Calibri"/>
          <w:bCs/>
        </w:rPr>
        <w:t>planografem</w:t>
      </w:r>
      <w:proofErr w:type="spellEnd"/>
      <w:r w:rsidRPr="009D5004">
        <w:rPr>
          <w:rFonts w:asciiTheme="minorHAnsi" w:hAnsiTheme="minorHAnsi" w:cs="Calibri"/>
          <w:bCs/>
        </w:rPr>
        <w:t xml:space="preserve">, zgodnie z BN-68/8931-04. </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 xml:space="preserve">Nierówności poprzeczne podbudowy należy mierzyć 4-metrową łatą. </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Nierówności podbudowy  nie mogą przekraczać:</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  10 mm dla podbudowy zasadniczej,</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  20 mm dla podbudowy pomocniczej,</w:t>
      </w:r>
    </w:p>
    <w:p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 xml:space="preserve">Spadki poprzeczne podbudowy </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Spadki poprzeczne podbudowy na prostych i łukach powinny być zgodne z dokumentacją projektową,  z tolerancją ± 0,5 %.</w:t>
      </w:r>
    </w:p>
    <w:p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 xml:space="preserve">Rzędne wysokościowe podbudowy </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Różnice pomiędzy rzędnymi wysokościowymi podbudowy i rzędnymi projektowanymi nie powinny przekraczać -1cm, +0cm.</w:t>
      </w:r>
    </w:p>
    <w:p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Ukształtowanie osi podbudowy</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Oś podbudowy w planie nie może być przesunięta w stosunku do osi projektowanej o więcej niż ± 5 cm.</w:t>
      </w:r>
    </w:p>
    <w:p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Grubość podbudowy</w:t>
      </w:r>
    </w:p>
    <w:p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Grubość podbudowy nie może się  różnić od grubości projektowanej o więcej niż:</w:t>
      </w:r>
    </w:p>
    <w:p w:rsidR="009D5004" w:rsidRPr="009D5004" w:rsidRDefault="009D5004" w:rsidP="009D5004">
      <w:pPr>
        <w:spacing w:after="0"/>
        <w:jc w:val="both"/>
        <w:rPr>
          <w:rFonts w:asciiTheme="minorHAnsi" w:hAnsiTheme="minorHAnsi" w:cs="Calibri"/>
          <w:bCs/>
        </w:rPr>
      </w:pPr>
    </w:p>
    <w:p w:rsidR="009D5004" w:rsidRPr="009D5004" w:rsidRDefault="009D5004" w:rsidP="009D5004">
      <w:pPr>
        <w:pStyle w:val="Akapitzlist"/>
        <w:numPr>
          <w:ilvl w:val="0"/>
          <w:numId w:val="71"/>
        </w:numPr>
        <w:spacing w:after="0"/>
        <w:jc w:val="both"/>
        <w:rPr>
          <w:rFonts w:asciiTheme="minorHAnsi" w:hAnsiTheme="minorHAnsi" w:cs="Calibri"/>
          <w:bCs/>
        </w:rPr>
      </w:pPr>
      <w:r w:rsidRPr="009D5004">
        <w:rPr>
          <w:rFonts w:asciiTheme="minorHAnsi" w:hAnsiTheme="minorHAnsi" w:cs="Calibri"/>
          <w:bCs/>
        </w:rPr>
        <w:lastRenderedPageBreak/>
        <w:t>dla podbudowy pomocniczej +10 %; -15%.</w:t>
      </w:r>
    </w:p>
    <w:p w:rsidR="009D5004" w:rsidRPr="009D5004" w:rsidRDefault="009D5004" w:rsidP="009D5004">
      <w:pPr>
        <w:pStyle w:val="Akapitzlist"/>
        <w:numPr>
          <w:ilvl w:val="0"/>
          <w:numId w:val="71"/>
        </w:numPr>
        <w:spacing w:after="0"/>
        <w:jc w:val="both"/>
        <w:rPr>
          <w:rFonts w:asciiTheme="minorHAnsi" w:hAnsiTheme="minorHAnsi" w:cs="Calibri"/>
          <w:bCs/>
        </w:rPr>
      </w:pPr>
      <w:r w:rsidRPr="009D5004">
        <w:rPr>
          <w:rFonts w:asciiTheme="minorHAnsi" w:hAnsiTheme="minorHAnsi" w:cs="Calibri"/>
          <w:bCs/>
        </w:rPr>
        <w:t xml:space="preserve">dla podbudowy zasadniczej </w:t>
      </w:r>
      <w:r w:rsidRPr="009D5004">
        <w:rPr>
          <w:rFonts w:asciiTheme="minorHAnsi" w:hAnsiTheme="minorHAnsi" w:cs="Calibri"/>
          <w:bCs/>
        </w:rPr>
        <w:t>10 %;</w:t>
      </w:r>
    </w:p>
    <w:p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Nośność podbudowy</w:t>
      </w:r>
    </w:p>
    <w:p w:rsidR="009D5004" w:rsidRPr="009D5004" w:rsidRDefault="009D5004" w:rsidP="009D5004">
      <w:pPr>
        <w:pStyle w:val="Akapitzlist"/>
        <w:numPr>
          <w:ilvl w:val="0"/>
          <w:numId w:val="72"/>
        </w:numPr>
        <w:spacing w:after="0"/>
        <w:jc w:val="both"/>
        <w:rPr>
          <w:rFonts w:asciiTheme="minorHAnsi" w:hAnsiTheme="minorHAnsi" w:cs="Calibri"/>
          <w:bCs/>
        </w:rPr>
      </w:pPr>
      <w:r w:rsidRPr="009D5004">
        <w:rPr>
          <w:rFonts w:asciiTheme="minorHAnsi" w:hAnsiTheme="minorHAnsi" w:cs="Calibri"/>
          <w:bCs/>
        </w:rPr>
        <w:t>moduł odkształcenia wg „Instrukcji badań podłoża gruntowego budowli drogowych i mostowych .Część 2”powinien być zgodny z podanym w tablicy 4,</w:t>
      </w:r>
    </w:p>
    <w:p w:rsidR="009D5004" w:rsidRPr="009D5004" w:rsidRDefault="009D5004" w:rsidP="009D5004">
      <w:pPr>
        <w:spacing w:after="0"/>
        <w:jc w:val="both"/>
        <w:rPr>
          <w:rFonts w:asciiTheme="minorHAnsi" w:hAnsiTheme="minorHAnsi" w:cs="Calibri"/>
          <w:bCs/>
        </w:rPr>
      </w:pPr>
    </w:p>
    <w:p w:rsidR="00D87F29" w:rsidRPr="009D5004" w:rsidRDefault="009D5004" w:rsidP="009D5004">
      <w:pPr>
        <w:spacing w:after="0"/>
        <w:jc w:val="both"/>
        <w:rPr>
          <w:rFonts w:asciiTheme="minorHAnsi" w:hAnsiTheme="minorHAnsi" w:cs="Calibri"/>
          <w:bCs/>
          <w:sz w:val="18"/>
          <w:szCs w:val="18"/>
        </w:rPr>
      </w:pPr>
      <w:r w:rsidRPr="009D5004">
        <w:rPr>
          <w:rFonts w:asciiTheme="minorHAnsi" w:hAnsiTheme="minorHAnsi" w:cs="Calibri"/>
          <w:bCs/>
          <w:sz w:val="18"/>
          <w:szCs w:val="18"/>
        </w:rPr>
        <w:t xml:space="preserve">   Tablica 4. Cechy podbudowy</w:t>
      </w:r>
    </w:p>
    <w:tbl>
      <w:tblPr>
        <w:tblW w:w="9356" w:type="dxa"/>
        <w:tblInd w:w="21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2126"/>
        <w:gridCol w:w="1701"/>
        <w:gridCol w:w="2552"/>
        <w:gridCol w:w="2410"/>
      </w:tblGrid>
      <w:tr w:rsidR="009D5004" w:rsidRPr="009D5004" w:rsidTr="00CD6600">
        <w:trPr>
          <w:cantSplit/>
        </w:trPr>
        <w:tc>
          <w:tcPr>
            <w:tcW w:w="567" w:type="dxa"/>
            <w:vMerge w:val="restart"/>
            <w:tcBorders>
              <w:top w:val="double" w:sz="4" w:space="0" w:color="auto"/>
              <w:bottom w:val="single" w:sz="6" w:space="0" w:color="auto"/>
            </w:tcBorders>
            <w:vAlign w:val="center"/>
          </w:tcPr>
          <w:p w:rsidR="009D5004" w:rsidRPr="009D5004" w:rsidRDefault="009D5004" w:rsidP="009D5004">
            <w:pPr>
              <w:tabs>
                <w:tab w:val="left" w:pos="426"/>
                <w:tab w:val="left" w:pos="709"/>
                <w:tab w:val="left" w:pos="993"/>
              </w:tabs>
              <w:spacing w:after="0"/>
              <w:jc w:val="center"/>
            </w:pPr>
            <w:r w:rsidRPr="009D5004">
              <w:t>Lp.</w:t>
            </w:r>
          </w:p>
        </w:tc>
        <w:tc>
          <w:tcPr>
            <w:tcW w:w="2126" w:type="dxa"/>
            <w:vMerge w:val="restart"/>
            <w:tcBorders>
              <w:top w:val="double" w:sz="4" w:space="0" w:color="auto"/>
              <w:bottom w:val="single" w:sz="6" w:space="0" w:color="auto"/>
            </w:tcBorders>
            <w:vAlign w:val="center"/>
          </w:tcPr>
          <w:p w:rsidR="009D5004" w:rsidRPr="009D5004" w:rsidRDefault="009D5004" w:rsidP="009D5004">
            <w:pPr>
              <w:tabs>
                <w:tab w:val="left" w:pos="426"/>
                <w:tab w:val="left" w:pos="709"/>
                <w:tab w:val="left" w:pos="993"/>
              </w:tabs>
              <w:spacing w:after="0"/>
              <w:jc w:val="center"/>
            </w:pPr>
            <w:r w:rsidRPr="009D5004">
              <w:t>Podbudowa z kruszywa o wskaźniku Wnoś nie mniejszym niż %</w:t>
            </w:r>
          </w:p>
        </w:tc>
        <w:tc>
          <w:tcPr>
            <w:tcW w:w="6663" w:type="dxa"/>
            <w:gridSpan w:val="3"/>
            <w:tcBorders>
              <w:top w:val="double" w:sz="4" w:space="0" w:color="auto"/>
              <w:bottom w:val="single" w:sz="6" w:space="0" w:color="auto"/>
            </w:tcBorders>
            <w:vAlign w:val="center"/>
          </w:tcPr>
          <w:p w:rsidR="009D5004" w:rsidRPr="009D5004" w:rsidRDefault="009D5004" w:rsidP="009D5004">
            <w:pPr>
              <w:tabs>
                <w:tab w:val="left" w:pos="426"/>
                <w:tab w:val="left" w:pos="709"/>
                <w:tab w:val="left" w:pos="993"/>
              </w:tabs>
              <w:spacing w:after="0"/>
              <w:jc w:val="center"/>
            </w:pPr>
            <w:r w:rsidRPr="009D5004">
              <w:t>Wymagane cechy podbudowy</w:t>
            </w:r>
          </w:p>
        </w:tc>
      </w:tr>
      <w:tr w:rsidR="009D5004" w:rsidRPr="009D5004" w:rsidTr="00CD6600">
        <w:trPr>
          <w:cantSplit/>
        </w:trPr>
        <w:tc>
          <w:tcPr>
            <w:tcW w:w="567" w:type="dxa"/>
            <w:vMerge/>
            <w:tcBorders>
              <w:top w:val="single" w:sz="6" w:space="0" w:color="auto"/>
              <w:bottom w:val="single" w:sz="6" w:space="0" w:color="auto"/>
            </w:tcBorders>
          </w:tcPr>
          <w:p w:rsidR="009D5004" w:rsidRPr="009D5004" w:rsidRDefault="009D5004" w:rsidP="009D5004">
            <w:pPr>
              <w:tabs>
                <w:tab w:val="left" w:pos="426"/>
                <w:tab w:val="left" w:pos="709"/>
                <w:tab w:val="left" w:pos="993"/>
              </w:tabs>
              <w:spacing w:after="0"/>
              <w:jc w:val="center"/>
            </w:pPr>
          </w:p>
        </w:tc>
        <w:tc>
          <w:tcPr>
            <w:tcW w:w="2126" w:type="dxa"/>
            <w:vMerge/>
            <w:tcBorders>
              <w:top w:val="single" w:sz="6" w:space="0" w:color="auto"/>
              <w:bottom w:val="single" w:sz="6" w:space="0" w:color="auto"/>
            </w:tcBorders>
            <w:vAlign w:val="center"/>
          </w:tcPr>
          <w:p w:rsidR="009D5004" w:rsidRPr="009D5004" w:rsidRDefault="009D5004" w:rsidP="009D5004">
            <w:pPr>
              <w:tabs>
                <w:tab w:val="left" w:pos="426"/>
                <w:tab w:val="left" w:pos="709"/>
                <w:tab w:val="left" w:pos="993"/>
              </w:tabs>
              <w:spacing w:after="0"/>
              <w:jc w:val="center"/>
            </w:pPr>
          </w:p>
        </w:tc>
        <w:tc>
          <w:tcPr>
            <w:tcW w:w="1701" w:type="dxa"/>
            <w:vMerge w:val="restart"/>
            <w:tcBorders>
              <w:top w:val="single" w:sz="6" w:space="0" w:color="auto"/>
              <w:bottom w:val="single" w:sz="6" w:space="0" w:color="auto"/>
            </w:tcBorders>
            <w:vAlign w:val="center"/>
          </w:tcPr>
          <w:p w:rsidR="009D5004" w:rsidRPr="009D5004" w:rsidRDefault="009D5004" w:rsidP="009D5004">
            <w:pPr>
              <w:tabs>
                <w:tab w:val="left" w:pos="426"/>
                <w:tab w:val="left" w:pos="709"/>
                <w:tab w:val="left" w:pos="993"/>
              </w:tabs>
              <w:spacing w:after="0"/>
              <w:jc w:val="center"/>
            </w:pPr>
            <w:r w:rsidRPr="009D5004">
              <w:t xml:space="preserve">Wskaźnik zagęszczenia </w:t>
            </w:r>
            <w:proofErr w:type="spellStart"/>
            <w:r w:rsidRPr="009D5004">
              <w:t>Is</w:t>
            </w:r>
            <w:proofErr w:type="spellEnd"/>
            <w:r w:rsidRPr="009D5004">
              <w:t xml:space="preserve"> nie mniejszy niż;</w:t>
            </w:r>
          </w:p>
        </w:tc>
        <w:tc>
          <w:tcPr>
            <w:tcW w:w="4962" w:type="dxa"/>
            <w:gridSpan w:val="2"/>
            <w:tcBorders>
              <w:top w:val="single" w:sz="6" w:space="0" w:color="auto"/>
              <w:bottom w:val="single" w:sz="6" w:space="0" w:color="auto"/>
            </w:tcBorders>
          </w:tcPr>
          <w:p w:rsidR="009D5004" w:rsidRPr="009D5004" w:rsidRDefault="009D5004" w:rsidP="009D5004">
            <w:pPr>
              <w:tabs>
                <w:tab w:val="left" w:pos="426"/>
                <w:tab w:val="left" w:pos="709"/>
                <w:tab w:val="left" w:pos="993"/>
              </w:tabs>
              <w:spacing w:after="0"/>
              <w:jc w:val="center"/>
            </w:pPr>
            <w:r w:rsidRPr="009D5004">
              <w:t xml:space="preserve">Minimalny moduł odkształcenia mierzony płytą o średnicy 30 cm </w:t>
            </w:r>
            <w:proofErr w:type="spellStart"/>
            <w:r w:rsidRPr="009D5004">
              <w:t>MPa</w:t>
            </w:r>
            <w:proofErr w:type="spellEnd"/>
          </w:p>
        </w:tc>
      </w:tr>
      <w:tr w:rsidR="009D5004" w:rsidRPr="009D5004" w:rsidTr="00CD6600">
        <w:trPr>
          <w:cantSplit/>
        </w:trPr>
        <w:tc>
          <w:tcPr>
            <w:tcW w:w="567" w:type="dxa"/>
            <w:vMerge/>
            <w:tcBorders>
              <w:top w:val="single" w:sz="6" w:space="0" w:color="auto"/>
              <w:bottom w:val="double" w:sz="4" w:space="0" w:color="auto"/>
            </w:tcBorders>
          </w:tcPr>
          <w:p w:rsidR="009D5004" w:rsidRPr="009D5004" w:rsidRDefault="009D5004" w:rsidP="009D5004">
            <w:pPr>
              <w:tabs>
                <w:tab w:val="left" w:pos="426"/>
                <w:tab w:val="left" w:pos="709"/>
                <w:tab w:val="left" w:pos="993"/>
              </w:tabs>
              <w:spacing w:after="0"/>
              <w:jc w:val="center"/>
            </w:pPr>
          </w:p>
        </w:tc>
        <w:tc>
          <w:tcPr>
            <w:tcW w:w="2126" w:type="dxa"/>
            <w:vMerge/>
            <w:tcBorders>
              <w:top w:val="single" w:sz="6" w:space="0" w:color="auto"/>
              <w:bottom w:val="double" w:sz="4" w:space="0" w:color="auto"/>
            </w:tcBorders>
          </w:tcPr>
          <w:p w:rsidR="009D5004" w:rsidRPr="009D5004" w:rsidRDefault="009D5004" w:rsidP="009D5004">
            <w:pPr>
              <w:tabs>
                <w:tab w:val="left" w:pos="426"/>
                <w:tab w:val="left" w:pos="709"/>
                <w:tab w:val="left" w:pos="993"/>
              </w:tabs>
              <w:spacing w:after="0"/>
              <w:jc w:val="center"/>
            </w:pPr>
          </w:p>
        </w:tc>
        <w:tc>
          <w:tcPr>
            <w:tcW w:w="1701" w:type="dxa"/>
            <w:vMerge/>
            <w:tcBorders>
              <w:top w:val="single" w:sz="6" w:space="0" w:color="auto"/>
              <w:bottom w:val="double" w:sz="4" w:space="0" w:color="auto"/>
            </w:tcBorders>
          </w:tcPr>
          <w:p w:rsidR="009D5004" w:rsidRPr="009D5004" w:rsidRDefault="009D5004" w:rsidP="009D5004">
            <w:pPr>
              <w:tabs>
                <w:tab w:val="left" w:pos="426"/>
                <w:tab w:val="left" w:pos="709"/>
                <w:tab w:val="left" w:pos="993"/>
              </w:tabs>
              <w:spacing w:after="0"/>
              <w:jc w:val="center"/>
            </w:pPr>
          </w:p>
        </w:tc>
        <w:tc>
          <w:tcPr>
            <w:tcW w:w="2552" w:type="dxa"/>
            <w:tcBorders>
              <w:top w:val="single" w:sz="6" w:space="0" w:color="auto"/>
              <w:bottom w:val="double" w:sz="4" w:space="0" w:color="auto"/>
            </w:tcBorders>
            <w:vAlign w:val="center"/>
          </w:tcPr>
          <w:p w:rsidR="009D5004" w:rsidRPr="009D5004" w:rsidRDefault="009D5004" w:rsidP="009D5004">
            <w:pPr>
              <w:tabs>
                <w:tab w:val="left" w:pos="426"/>
                <w:tab w:val="left" w:pos="709"/>
                <w:tab w:val="left" w:pos="993"/>
              </w:tabs>
              <w:spacing w:after="0"/>
              <w:jc w:val="center"/>
            </w:pPr>
            <w:r w:rsidRPr="009D5004">
              <w:t>od pierwszego obciążenia E</w:t>
            </w:r>
            <w:r w:rsidRPr="009D5004">
              <w:rPr>
                <w:vertAlign w:val="subscript"/>
              </w:rPr>
              <w:t>1</w:t>
            </w:r>
          </w:p>
        </w:tc>
        <w:tc>
          <w:tcPr>
            <w:tcW w:w="2410" w:type="dxa"/>
            <w:tcBorders>
              <w:top w:val="single" w:sz="6" w:space="0" w:color="auto"/>
              <w:bottom w:val="double" w:sz="4" w:space="0" w:color="auto"/>
            </w:tcBorders>
          </w:tcPr>
          <w:p w:rsidR="009D5004" w:rsidRPr="009D5004" w:rsidRDefault="009D5004" w:rsidP="009D5004">
            <w:pPr>
              <w:tabs>
                <w:tab w:val="left" w:pos="426"/>
                <w:tab w:val="left" w:pos="709"/>
                <w:tab w:val="left" w:pos="993"/>
              </w:tabs>
              <w:spacing w:after="0"/>
              <w:jc w:val="center"/>
            </w:pPr>
            <w:r w:rsidRPr="009D5004">
              <w:t>od drugiego obciążenia E</w:t>
            </w:r>
            <w:r w:rsidRPr="009D5004">
              <w:rPr>
                <w:vertAlign w:val="subscript"/>
              </w:rPr>
              <w:t>2</w:t>
            </w:r>
          </w:p>
        </w:tc>
      </w:tr>
      <w:tr w:rsidR="009D5004" w:rsidRPr="009D5004" w:rsidTr="00CD6600">
        <w:trPr>
          <w:cantSplit/>
          <w:trHeight w:val="369"/>
        </w:trPr>
        <w:tc>
          <w:tcPr>
            <w:tcW w:w="567" w:type="dxa"/>
            <w:tcBorders>
              <w:top w:val="double" w:sz="4" w:space="0" w:color="auto"/>
            </w:tcBorders>
            <w:vAlign w:val="center"/>
          </w:tcPr>
          <w:p w:rsidR="009D5004" w:rsidRPr="009D5004" w:rsidRDefault="009D5004" w:rsidP="009D5004">
            <w:pPr>
              <w:tabs>
                <w:tab w:val="left" w:pos="426"/>
                <w:tab w:val="left" w:pos="709"/>
                <w:tab w:val="left" w:pos="993"/>
              </w:tabs>
              <w:spacing w:after="0"/>
              <w:jc w:val="center"/>
            </w:pPr>
            <w:r w:rsidRPr="009D5004">
              <w:t>1</w:t>
            </w:r>
          </w:p>
        </w:tc>
        <w:tc>
          <w:tcPr>
            <w:tcW w:w="2126" w:type="dxa"/>
            <w:tcBorders>
              <w:top w:val="double" w:sz="4" w:space="0" w:color="auto"/>
            </w:tcBorders>
            <w:vAlign w:val="center"/>
          </w:tcPr>
          <w:p w:rsidR="009D5004" w:rsidRPr="009D5004" w:rsidRDefault="009D5004" w:rsidP="009D5004">
            <w:pPr>
              <w:tabs>
                <w:tab w:val="left" w:pos="426"/>
                <w:tab w:val="left" w:pos="709"/>
                <w:tab w:val="left" w:pos="993"/>
              </w:tabs>
              <w:spacing w:after="0"/>
              <w:jc w:val="center"/>
            </w:pPr>
            <w:r w:rsidRPr="009D5004">
              <w:t>60</w:t>
            </w:r>
          </w:p>
        </w:tc>
        <w:tc>
          <w:tcPr>
            <w:tcW w:w="1701" w:type="dxa"/>
            <w:tcBorders>
              <w:top w:val="double" w:sz="4" w:space="0" w:color="auto"/>
            </w:tcBorders>
            <w:vAlign w:val="center"/>
          </w:tcPr>
          <w:p w:rsidR="009D5004" w:rsidRPr="009D5004" w:rsidRDefault="009D5004" w:rsidP="009D5004">
            <w:pPr>
              <w:tabs>
                <w:tab w:val="left" w:pos="426"/>
                <w:tab w:val="left" w:pos="709"/>
                <w:tab w:val="left" w:pos="993"/>
              </w:tabs>
              <w:spacing w:after="0"/>
              <w:jc w:val="center"/>
            </w:pPr>
            <w:r w:rsidRPr="009D5004">
              <w:t>1,00</w:t>
            </w:r>
          </w:p>
        </w:tc>
        <w:tc>
          <w:tcPr>
            <w:tcW w:w="2552" w:type="dxa"/>
            <w:tcBorders>
              <w:top w:val="double" w:sz="4" w:space="0" w:color="auto"/>
            </w:tcBorders>
            <w:vAlign w:val="center"/>
          </w:tcPr>
          <w:p w:rsidR="009D5004" w:rsidRPr="009D5004" w:rsidRDefault="009D5004" w:rsidP="009D5004">
            <w:pPr>
              <w:tabs>
                <w:tab w:val="left" w:pos="426"/>
                <w:tab w:val="left" w:pos="709"/>
                <w:tab w:val="left" w:pos="993"/>
              </w:tabs>
              <w:spacing w:after="0"/>
              <w:jc w:val="center"/>
            </w:pPr>
            <w:r w:rsidRPr="009D5004">
              <w:t>60</w:t>
            </w:r>
          </w:p>
        </w:tc>
        <w:tc>
          <w:tcPr>
            <w:tcW w:w="2410" w:type="dxa"/>
            <w:tcBorders>
              <w:top w:val="double" w:sz="4" w:space="0" w:color="auto"/>
            </w:tcBorders>
            <w:vAlign w:val="center"/>
          </w:tcPr>
          <w:p w:rsidR="009D5004" w:rsidRPr="009D5004" w:rsidRDefault="009D5004" w:rsidP="009D5004">
            <w:pPr>
              <w:tabs>
                <w:tab w:val="left" w:pos="426"/>
                <w:tab w:val="left" w:pos="709"/>
                <w:tab w:val="left" w:pos="993"/>
              </w:tabs>
              <w:spacing w:after="0"/>
              <w:jc w:val="center"/>
            </w:pPr>
            <w:r w:rsidRPr="009D5004">
              <w:t>120</w:t>
            </w:r>
          </w:p>
        </w:tc>
      </w:tr>
      <w:tr w:rsidR="009D5004" w:rsidRPr="009D5004" w:rsidTr="00CD6600">
        <w:trPr>
          <w:cantSplit/>
          <w:trHeight w:val="369"/>
        </w:trPr>
        <w:tc>
          <w:tcPr>
            <w:tcW w:w="567" w:type="dxa"/>
            <w:vAlign w:val="center"/>
          </w:tcPr>
          <w:p w:rsidR="009D5004" w:rsidRPr="009D5004" w:rsidRDefault="009D5004" w:rsidP="009D5004">
            <w:pPr>
              <w:tabs>
                <w:tab w:val="left" w:pos="426"/>
                <w:tab w:val="left" w:pos="709"/>
                <w:tab w:val="left" w:pos="993"/>
              </w:tabs>
              <w:spacing w:after="0"/>
              <w:jc w:val="center"/>
            </w:pPr>
            <w:r w:rsidRPr="009D5004">
              <w:t>2</w:t>
            </w:r>
          </w:p>
        </w:tc>
        <w:tc>
          <w:tcPr>
            <w:tcW w:w="2126" w:type="dxa"/>
            <w:vAlign w:val="center"/>
          </w:tcPr>
          <w:p w:rsidR="009D5004" w:rsidRPr="009D5004" w:rsidRDefault="009D5004" w:rsidP="009D5004">
            <w:pPr>
              <w:tabs>
                <w:tab w:val="left" w:pos="426"/>
                <w:tab w:val="left" w:pos="709"/>
                <w:tab w:val="left" w:pos="993"/>
              </w:tabs>
              <w:spacing w:after="0"/>
              <w:jc w:val="center"/>
            </w:pPr>
            <w:r w:rsidRPr="009D5004">
              <w:t>80</w:t>
            </w:r>
          </w:p>
        </w:tc>
        <w:tc>
          <w:tcPr>
            <w:tcW w:w="1701" w:type="dxa"/>
            <w:vAlign w:val="center"/>
          </w:tcPr>
          <w:p w:rsidR="009D5004" w:rsidRPr="009D5004" w:rsidRDefault="009D5004" w:rsidP="009D5004">
            <w:pPr>
              <w:tabs>
                <w:tab w:val="left" w:pos="426"/>
                <w:tab w:val="left" w:pos="709"/>
                <w:tab w:val="left" w:pos="993"/>
              </w:tabs>
              <w:spacing w:after="0"/>
              <w:jc w:val="center"/>
            </w:pPr>
            <w:r w:rsidRPr="009D5004">
              <w:t>1,00</w:t>
            </w:r>
          </w:p>
        </w:tc>
        <w:tc>
          <w:tcPr>
            <w:tcW w:w="2552" w:type="dxa"/>
            <w:vAlign w:val="center"/>
          </w:tcPr>
          <w:p w:rsidR="009D5004" w:rsidRPr="009D5004" w:rsidRDefault="009D5004" w:rsidP="009D5004">
            <w:pPr>
              <w:tabs>
                <w:tab w:val="left" w:pos="426"/>
                <w:tab w:val="left" w:pos="709"/>
                <w:tab w:val="left" w:pos="993"/>
              </w:tabs>
              <w:spacing w:after="0"/>
              <w:jc w:val="center"/>
            </w:pPr>
            <w:r w:rsidRPr="009D5004">
              <w:t>80</w:t>
            </w:r>
          </w:p>
        </w:tc>
        <w:tc>
          <w:tcPr>
            <w:tcW w:w="2410" w:type="dxa"/>
            <w:vAlign w:val="center"/>
          </w:tcPr>
          <w:p w:rsidR="009D5004" w:rsidRPr="009D5004" w:rsidRDefault="009D5004" w:rsidP="009D5004">
            <w:pPr>
              <w:tabs>
                <w:tab w:val="left" w:pos="426"/>
                <w:tab w:val="left" w:pos="709"/>
                <w:tab w:val="left" w:pos="993"/>
              </w:tabs>
              <w:spacing w:after="0"/>
              <w:jc w:val="center"/>
            </w:pPr>
            <w:r w:rsidRPr="009D5004">
              <w:t>140</w:t>
            </w:r>
          </w:p>
        </w:tc>
      </w:tr>
      <w:tr w:rsidR="009D5004" w:rsidRPr="009D5004" w:rsidTr="00CD6600">
        <w:trPr>
          <w:cantSplit/>
          <w:trHeight w:val="369"/>
        </w:trPr>
        <w:tc>
          <w:tcPr>
            <w:tcW w:w="567" w:type="dxa"/>
            <w:vAlign w:val="center"/>
          </w:tcPr>
          <w:p w:rsidR="009D5004" w:rsidRPr="009D5004" w:rsidRDefault="009D5004" w:rsidP="009D5004">
            <w:pPr>
              <w:tabs>
                <w:tab w:val="left" w:pos="426"/>
                <w:tab w:val="left" w:pos="709"/>
                <w:tab w:val="left" w:pos="993"/>
              </w:tabs>
              <w:spacing w:after="0"/>
              <w:jc w:val="center"/>
            </w:pPr>
            <w:r w:rsidRPr="009D5004">
              <w:t>3</w:t>
            </w:r>
          </w:p>
        </w:tc>
        <w:tc>
          <w:tcPr>
            <w:tcW w:w="2126" w:type="dxa"/>
            <w:vAlign w:val="center"/>
          </w:tcPr>
          <w:p w:rsidR="009D5004" w:rsidRPr="009D5004" w:rsidRDefault="009D5004" w:rsidP="009D5004">
            <w:pPr>
              <w:tabs>
                <w:tab w:val="left" w:pos="426"/>
                <w:tab w:val="left" w:pos="709"/>
                <w:tab w:val="left" w:pos="993"/>
              </w:tabs>
              <w:spacing w:after="0"/>
              <w:jc w:val="center"/>
            </w:pPr>
            <w:r w:rsidRPr="009D5004">
              <w:t>120</w:t>
            </w:r>
          </w:p>
        </w:tc>
        <w:tc>
          <w:tcPr>
            <w:tcW w:w="1701" w:type="dxa"/>
            <w:vAlign w:val="center"/>
          </w:tcPr>
          <w:p w:rsidR="009D5004" w:rsidRPr="009D5004" w:rsidRDefault="009D5004" w:rsidP="009D5004">
            <w:pPr>
              <w:tabs>
                <w:tab w:val="left" w:pos="426"/>
                <w:tab w:val="left" w:pos="709"/>
                <w:tab w:val="left" w:pos="993"/>
              </w:tabs>
              <w:spacing w:after="0"/>
              <w:jc w:val="center"/>
            </w:pPr>
            <w:r w:rsidRPr="009D5004">
              <w:t>1,03</w:t>
            </w:r>
          </w:p>
        </w:tc>
        <w:tc>
          <w:tcPr>
            <w:tcW w:w="2552" w:type="dxa"/>
            <w:vAlign w:val="center"/>
          </w:tcPr>
          <w:p w:rsidR="009D5004" w:rsidRPr="009D5004" w:rsidRDefault="009D5004" w:rsidP="009D5004">
            <w:pPr>
              <w:tabs>
                <w:tab w:val="left" w:pos="426"/>
                <w:tab w:val="left" w:pos="709"/>
                <w:tab w:val="left" w:pos="993"/>
              </w:tabs>
              <w:spacing w:after="0"/>
              <w:jc w:val="center"/>
            </w:pPr>
            <w:r w:rsidRPr="009D5004">
              <w:t>100</w:t>
            </w:r>
          </w:p>
        </w:tc>
        <w:tc>
          <w:tcPr>
            <w:tcW w:w="2410" w:type="dxa"/>
            <w:vAlign w:val="center"/>
          </w:tcPr>
          <w:p w:rsidR="009D5004" w:rsidRPr="009D5004" w:rsidRDefault="009D5004" w:rsidP="009D5004">
            <w:pPr>
              <w:tabs>
                <w:tab w:val="left" w:pos="426"/>
                <w:tab w:val="left" w:pos="709"/>
                <w:tab w:val="left" w:pos="993"/>
              </w:tabs>
              <w:spacing w:after="0"/>
              <w:jc w:val="center"/>
            </w:pPr>
            <w:r w:rsidRPr="009D5004">
              <w:t>180</w:t>
            </w:r>
          </w:p>
        </w:tc>
      </w:tr>
    </w:tbl>
    <w:p w:rsidR="00D87F29" w:rsidRDefault="00D87F29" w:rsidP="002B393E">
      <w:pPr>
        <w:spacing w:after="0"/>
        <w:jc w:val="both"/>
        <w:rPr>
          <w:rFonts w:cs="Calibri"/>
          <w:bCs/>
        </w:rPr>
      </w:pPr>
    </w:p>
    <w:p w:rsidR="009D5004" w:rsidRPr="009D5004" w:rsidRDefault="009D5004" w:rsidP="009D5004">
      <w:pPr>
        <w:pStyle w:val="Akapitzlist"/>
        <w:numPr>
          <w:ilvl w:val="1"/>
          <w:numId w:val="18"/>
        </w:numPr>
        <w:spacing w:after="0"/>
        <w:jc w:val="both"/>
        <w:rPr>
          <w:rFonts w:cs="Calibri"/>
          <w:b/>
          <w:bCs/>
        </w:rPr>
      </w:pPr>
      <w:r w:rsidRPr="009D5004">
        <w:rPr>
          <w:rFonts w:cs="Calibri"/>
          <w:b/>
          <w:bCs/>
        </w:rPr>
        <w:t xml:space="preserve">Zasady postępowania z wadliwie wykonanymi odcinkami podbudowy </w:t>
      </w:r>
    </w:p>
    <w:p w:rsidR="009D5004" w:rsidRPr="009D5004" w:rsidRDefault="009D5004" w:rsidP="009D5004">
      <w:pPr>
        <w:spacing w:after="0"/>
        <w:jc w:val="both"/>
        <w:rPr>
          <w:rFonts w:cs="Calibri"/>
          <w:b/>
          <w:bCs/>
        </w:rPr>
      </w:pPr>
      <w:r w:rsidRPr="009D5004">
        <w:rPr>
          <w:rFonts w:cs="Calibri"/>
          <w:b/>
          <w:bCs/>
        </w:rPr>
        <w:t xml:space="preserve">Niewłaściwe cechy geometryczne podbudowy </w:t>
      </w:r>
    </w:p>
    <w:p w:rsidR="009D5004" w:rsidRPr="009D5004" w:rsidRDefault="009D5004" w:rsidP="009D5004">
      <w:pPr>
        <w:spacing w:after="0"/>
        <w:jc w:val="both"/>
        <w:rPr>
          <w:rFonts w:cs="Calibri"/>
          <w:bCs/>
        </w:rPr>
      </w:pPr>
      <w:r w:rsidRPr="009D5004">
        <w:rPr>
          <w:rFonts w:cs="Calibri"/>
          <w:bCs/>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9D5004" w:rsidRPr="009D5004" w:rsidRDefault="009D5004" w:rsidP="009D5004">
      <w:pPr>
        <w:spacing w:after="0"/>
        <w:jc w:val="both"/>
        <w:rPr>
          <w:rFonts w:cs="Calibri"/>
          <w:bCs/>
        </w:rPr>
      </w:pPr>
      <w:r w:rsidRPr="009D5004">
        <w:rPr>
          <w:rFonts w:cs="Calibri"/>
          <w:bCs/>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9D5004" w:rsidRPr="009D5004" w:rsidRDefault="009D5004" w:rsidP="009D5004">
      <w:pPr>
        <w:spacing w:after="0"/>
        <w:jc w:val="both"/>
        <w:rPr>
          <w:rFonts w:cs="Calibri"/>
          <w:b/>
          <w:bCs/>
        </w:rPr>
      </w:pPr>
      <w:r w:rsidRPr="009D5004">
        <w:rPr>
          <w:rFonts w:cs="Calibri"/>
          <w:b/>
          <w:bCs/>
        </w:rPr>
        <w:t xml:space="preserve">Niewłaściwa grubość podbudowy </w:t>
      </w:r>
    </w:p>
    <w:p w:rsidR="009D5004" w:rsidRPr="009D5004" w:rsidRDefault="009D5004" w:rsidP="009D5004">
      <w:pPr>
        <w:spacing w:after="0"/>
        <w:jc w:val="both"/>
        <w:rPr>
          <w:rFonts w:cs="Calibri"/>
          <w:bCs/>
        </w:rPr>
      </w:pPr>
      <w:r w:rsidRPr="009D5004">
        <w:rPr>
          <w:rFonts w:cs="Calibri"/>
          <w:bCs/>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9D5004" w:rsidRPr="009D5004" w:rsidRDefault="009D5004" w:rsidP="009D5004">
      <w:pPr>
        <w:spacing w:after="0"/>
        <w:jc w:val="both"/>
        <w:rPr>
          <w:rFonts w:cs="Calibri"/>
          <w:bCs/>
        </w:rPr>
      </w:pPr>
      <w:r w:rsidRPr="009D5004">
        <w:rPr>
          <w:rFonts w:cs="Calibri"/>
          <w:bCs/>
        </w:rPr>
        <w:t>Roboty te Wykonawca wykona na własny koszt. Po wykonaniu tych robót nastąpi ponowny pomiar i ocena grubości warstwy, według wyżej podanych zasad, na koszt Wykonawcy.</w:t>
      </w:r>
    </w:p>
    <w:p w:rsidR="009D5004" w:rsidRPr="009D5004" w:rsidRDefault="009D5004" w:rsidP="009D5004">
      <w:pPr>
        <w:spacing w:after="0"/>
        <w:jc w:val="both"/>
        <w:rPr>
          <w:rFonts w:cs="Calibri"/>
          <w:b/>
          <w:bCs/>
        </w:rPr>
      </w:pPr>
      <w:r w:rsidRPr="009D5004">
        <w:rPr>
          <w:rFonts w:cs="Calibri"/>
          <w:b/>
          <w:bCs/>
        </w:rPr>
        <w:t xml:space="preserve">Niewłaściwa nośność podbudowy </w:t>
      </w:r>
    </w:p>
    <w:p w:rsidR="009D5004" w:rsidRPr="009D5004" w:rsidRDefault="009D5004" w:rsidP="009D5004">
      <w:pPr>
        <w:spacing w:after="0"/>
        <w:jc w:val="both"/>
        <w:rPr>
          <w:rFonts w:cs="Calibri"/>
          <w:bCs/>
        </w:rPr>
      </w:pPr>
      <w:r w:rsidRPr="009D5004">
        <w:rPr>
          <w:rFonts w:cs="Calibri"/>
          <w:bCs/>
        </w:rPr>
        <w:t>Jeżeli nośność podbudowy będzie mniejsza od wymaganej, to Wykonawca wykona wszelkie roboty niezbędne do zapewnienia wymaganej nośności, zalecone przez Inżyniera.</w:t>
      </w:r>
    </w:p>
    <w:p w:rsidR="00D87F29" w:rsidRDefault="009D5004" w:rsidP="009D5004">
      <w:pPr>
        <w:spacing w:after="0"/>
        <w:jc w:val="both"/>
        <w:rPr>
          <w:rFonts w:cs="Calibri"/>
          <w:bCs/>
        </w:rPr>
      </w:pPr>
      <w:r w:rsidRPr="009D5004">
        <w:rPr>
          <w:rFonts w:cs="Calibri"/>
          <w:bCs/>
        </w:rPr>
        <w:t>Koszty tych dodatkowych robót poniesie Wykonawca podbudowy tylko wtedy, gdy zaniżenie nośności podbudowy wynikło z niewłaściwego wykonania robót przez Wykonawcę podbudowy.</w:t>
      </w:r>
    </w:p>
    <w:p w:rsidR="00D87F29" w:rsidRDefault="00D87F29" w:rsidP="002B393E">
      <w:pPr>
        <w:spacing w:after="0"/>
        <w:jc w:val="both"/>
        <w:rPr>
          <w:rFonts w:cs="Calibri"/>
          <w:bCs/>
        </w:rPr>
      </w:pPr>
    </w:p>
    <w:p w:rsidR="002B393E" w:rsidRPr="002B393E" w:rsidRDefault="002B393E" w:rsidP="002B393E">
      <w:pPr>
        <w:pStyle w:val="Akapitzlist"/>
        <w:numPr>
          <w:ilvl w:val="0"/>
          <w:numId w:val="18"/>
        </w:numPr>
        <w:spacing w:after="0"/>
        <w:jc w:val="both"/>
        <w:rPr>
          <w:rFonts w:cs="Calibri"/>
          <w:b/>
          <w:bCs/>
        </w:rPr>
      </w:pPr>
      <w:r w:rsidRPr="002B393E">
        <w:rPr>
          <w:rFonts w:cs="Calibri"/>
          <w:b/>
          <w:bCs/>
        </w:rPr>
        <w:t>OBMIAR ROBÓT</w:t>
      </w:r>
    </w:p>
    <w:p w:rsidR="00CE0B69" w:rsidRPr="004A54AB" w:rsidRDefault="00CE0B69" w:rsidP="00CE0B69">
      <w:pPr>
        <w:spacing w:after="0"/>
        <w:jc w:val="both"/>
        <w:rPr>
          <w:rFonts w:cs="Calibri"/>
          <w:bCs/>
        </w:rPr>
      </w:pPr>
      <w:r w:rsidRPr="004A54AB">
        <w:rPr>
          <w:rFonts w:cs="Calibri"/>
          <w:bCs/>
        </w:rPr>
        <w:t>Ogólne zasady i wymagania dotyczące obmiaru robót podano w ST 00.01 “Wymagania ogólne".</w:t>
      </w:r>
    </w:p>
    <w:p w:rsidR="00CE0B69" w:rsidRPr="004A54AB" w:rsidRDefault="00CE0B69" w:rsidP="00CE0B69">
      <w:pPr>
        <w:spacing w:after="0"/>
        <w:jc w:val="both"/>
        <w:rPr>
          <w:rFonts w:cs="Calibri"/>
          <w:bCs/>
        </w:rPr>
      </w:pPr>
      <w:r w:rsidRPr="004A54AB">
        <w:rPr>
          <w:rFonts w:cs="Calibri"/>
          <w:bCs/>
        </w:rPr>
        <w:t>Obmiar robót określa ilość wykonanych robót zgodnie z postanowieniami umowy.</w:t>
      </w:r>
    </w:p>
    <w:p w:rsidR="00CE0B69" w:rsidRPr="004A54AB" w:rsidRDefault="00CE0B69" w:rsidP="00CE0B69">
      <w:pPr>
        <w:spacing w:after="0"/>
        <w:jc w:val="both"/>
        <w:rPr>
          <w:rFonts w:cs="Calibri"/>
          <w:bCs/>
        </w:rPr>
      </w:pPr>
      <w:r w:rsidRPr="004A54AB">
        <w:rPr>
          <w:rFonts w:cs="Calibri"/>
          <w:bCs/>
        </w:rPr>
        <w:lastRenderedPageBreak/>
        <w:t>Ilość robót oblicza się według sporządzonych pomiarów z natury, udokumentowanych operatem</w:t>
      </w:r>
      <w:r>
        <w:rPr>
          <w:rFonts w:cs="Calibri"/>
          <w:bCs/>
        </w:rPr>
        <w:t xml:space="preserve"> </w:t>
      </w:r>
      <w:r w:rsidRPr="004A54AB">
        <w:rPr>
          <w:rFonts w:cs="Calibri"/>
          <w:bCs/>
        </w:rPr>
        <w:t>powykonawczym, z uwzględnieniem wymagań technicznych zawartych w niniejszej ST i ujmuje w księdze</w:t>
      </w:r>
      <w:r>
        <w:rPr>
          <w:rFonts w:cs="Calibri"/>
          <w:bCs/>
        </w:rPr>
        <w:t xml:space="preserve"> </w:t>
      </w:r>
      <w:r w:rsidRPr="004A54AB">
        <w:rPr>
          <w:rFonts w:cs="Calibri"/>
          <w:bCs/>
        </w:rPr>
        <w:t>obmiaru.</w:t>
      </w:r>
    </w:p>
    <w:p w:rsidR="00CE0B69" w:rsidRPr="004A54AB" w:rsidRDefault="00CE0B69" w:rsidP="00CE0B69">
      <w:pPr>
        <w:spacing w:after="0"/>
        <w:jc w:val="both"/>
        <w:rPr>
          <w:rFonts w:cs="Calibri"/>
          <w:bCs/>
        </w:rPr>
      </w:pPr>
      <w:r w:rsidRPr="004A54AB">
        <w:rPr>
          <w:rFonts w:cs="Calibri"/>
          <w:bCs/>
        </w:rPr>
        <w:t>Wszystkie urządzenia i sprzęt pomiarowy stosowane do obmiaru robót podlegają akceptacji Inspektora</w:t>
      </w:r>
      <w:r>
        <w:rPr>
          <w:rFonts w:cs="Calibri"/>
          <w:bCs/>
        </w:rPr>
        <w:t xml:space="preserve"> </w:t>
      </w:r>
      <w:r w:rsidRPr="004A54AB">
        <w:rPr>
          <w:rFonts w:cs="Calibri"/>
          <w:bCs/>
        </w:rPr>
        <w:t>nadzoru i muszą posiadać ważne certyfikaty legalizacji.</w:t>
      </w:r>
    </w:p>
    <w:p w:rsidR="002B393E" w:rsidRDefault="00CE0B69" w:rsidP="00CE0B69">
      <w:pPr>
        <w:spacing w:after="0"/>
        <w:jc w:val="both"/>
        <w:rPr>
          <w:rFonts w:cs="Calibri"/>
          <w:bCs/>
        </w:rPr>
      </w:pPr>
      <w:r w:rsidRPr="004A54AB">
        <w:rPr>
          <w:rFonts w:cs="Calibri"/>
          <w:bCs/>
        </w:rPr>
        <w:t>Jednostki obmiaru - jak w przedmiarze.</w:t>
      </w:r>
    </w:p>
    <w:p w:rsidR="00CE0B69" w:rsidRDefault="00CE0B69" w:rsidP="00CE0B69">
      <w:pPr>
        <w:spacing w:after="0"/>
        <w:jc w:val="both"/>
        <w:rPr>
          <w:rFonts w:cs="Calibri"/>
          <w:bCs/>
        </w:rPr>
      </w:pPr>
    </w:p>
    <w:p w:rsidR="00CE0B69" w:rsidRPr="004A54AB" w:rsidRDefault="00CE0B69" w:rsidP="00CE0B69">
      <w:pPr>
        <w:pStyle w:val="Akapitzlist"/>
        <w:numPr>
          <w:ilvl w:val="0"/>
          <w:numId w:val="18"/>
        </w:numPr>
        <w:spacing w:after="0"/>
        <w:jc w:val="both"/>
        <w:rPr>
          <w:rFonts w:cs="Calibri"/>
          <w:b/>
          <w:bCs/>
          <w:caps/>
        </w:rPr>
      </w:pPr>
      <w:r w:rsidRPr="004A54AB">
        <w:rPr>
          <w:rFonts w:cs="Calibri"/>
          <w:b/>
          <w:bCs/>
          <w:caps/>
        </w:rPr>
        <w:t>ODBIÓR ROBÓT</w:t>
      </w:r>
    </w:p>
    <w:p w:rsidR="00CE0B69" w:rsidRPr="004A54AB" w:rsidRDefault="00CE0B69" w:rsidP="00CE0B69">
      <w:pPr>
        <w:spacing w:after="0"/>
        <w:jc w:val="both"/>
        <w:rPr>
          <w:rFonts w:cs="Calibri"/>
          <w:bCs/>
        </w:rPr>
      </w:pPr>
      <w:r w:rsidRPr="004A54AB">
        <w:rPr>
          <w:rFonts w:cs="Calibri"/>
          <w:bCs/>
        </w:rPr>
        <w:t>Ogólne zasady odbioru robót i ich przejęcia podano w ST „Wymagania ogólne".</w:t>
      </w:r>
    </w:p>
    <w:p w:rsidR="00CE0B69" w:rsidRPr="004A54AB" w:rsidRDefault="00CE0B69" w:rsidP="00CE0B69">
      <w:pPr>
        <w:spacing w:after="0"/>
        <w:jc w:val="both"/>
        <w:rPr>
          <w:rFonts w:cs="Calibri"/>
          <w:bCs/>
        </w:rPr>
      </w:pPr>
      <w:r w:rsidRPr="004A54AB">
        <w:rPr>
          <w:rFonts w:cs="Calibri"/>
          <w:bCs/>
        </w:rPr>
        <w:t>Odbiór jest potwierdzeniem wykonania robót zgodnie z postanowieniami Umowy oraz obowiązującymi</w:t>
      </w:r>
      <w:r>
        <w:rPr>
          <w:rFonts w:cs="Calibri"/>
          <w:bCs/>
        </w:rPr>
        <w:t xml:space="preserve"> </w:t>
      </w:r>
      <w:r w:rsidRPr="004A54AB">
        <w:rPr>
          <w:rFonts w:cs="Calibri"/>
          <w:bCs/>
        </w:rPr>
        <w:t>Normami Technicznymi (PN, EN-PN).</w:t>
      </w:r>
    </w:p>
    <w:p w:rsidR="00CE0B69" w:rsidRPr="004A54AB" w:rsidRDefault="00CE0B69" w:rsidP="00CE0B69">
      <w:pPr>
        <w:spacing w:after="0"/>
        <w:jc w:val="both"/>
        <w:rPr>
          <w:rFonts w:cs="Calibri"/>
          <w:bCs/>
        </w:rPr>
      </w:pPr>
      <w:r w:rsidRPr="004A54AB">
        <w:rPr>
          <w:rFonts w:cs="Calibri"/>
          <w:bCs/>
        </w:rPr>
        <w:t>Celem odbioru jest protokolarne dokonanie finalnej oceny rzeczywistego wykonania robót w odniesieniu</w:t>
      </w:r>
      <w:r>
        <w:rPr>
          <w:rFonts w:cs="Calibri"/>
          <w:bCs/>
        </w:rPr>
        <w:t xml:space="preserve"> </w:t>
      </w:r>
      <w:r w:rsidRPr="004A54AB">
        <w:rPr>
          <w:rFonts w:cs="Calibri"/>
          <w:bCs/>
        </w:rPr>
        <w:t>do ich ilości, jakości i wartości.</w:t>
      </w:r>
    </w:p>
    <w:p w:rsidR="00CE0B69" w:rsidRPr="004A54AB" w:rsidRDefault="00CE0B69" w:rsidP="00CE0B69">
      <w:pPr>
        <w:spacing w:after="0"/>
        <w:jc w:val="both"/>
        <w:rPr>
          <w:rFonts w:cs="Calibri"/>
          <w:bCs/>
        </w:rPr>
      </w:pPr>
      <w:r w:rsidRPr="004A54AB">
        <w:rPr>
          <w:rFonts w:cs="Calibri"/>
          <w:bCs/>
        </w:rPr>
        <w:t>Odbiór należy dokonać zgodnie z Warunkami Technicznymi Wykonania i Odbioru Robót Budowlano -</w:t>
      </w:r>
    </w:p>
    <w:p w:rsidR="00CE0B69" w:rsidRPr="004A54AB" w:rsidRDefault="00CE0B69" w:rsidP="00CE0B69">
      <w:pPr>
        <w:spacing w:after="0"/>
        <w:jc w:val="both"/>
        <w:rPr>
          <w:rFonts w:cs="Calibri"/>
          <w:bCs/>
        </w:rPr>
      </w:pPr>
      <w:r w:rsidRPr="004A54AB">
        <w:rPr>
          <w:rFonts w:cs="Calibri"/>
          <w:bCs/>
        </w:rPr>
        <w:t>Montażowych.</w:t>
      </w:r>
    </w:p>
    <w:p w:rsidR="002B393E" w:rsidRPr="002B393E" w:rsidRDefault="002B393E" w:rsidP="002B393E">
      <w:pPr>
        <w:spacing w:after="0"/>
        <w:jc w:val="both"/>
        <w:rPr>
          <w:rFonts w:cs="Calibri"/>
          <w:bCs/>
        </w:rPr>
      </w:pPr>
    </w:p>
    <w:p w:rsidR="00307154" w:rsidRPr="005E7EE0" w:rsidRDefault="00307154" w:rsidP="006E16FE">
      <w:pPr>
        <w:pStyle w:val="Akapitzlist"/>
        <w:numPr>
          <w:ilvl w:val="0"/>
          <w:numId w:val="18"/>
        </w:numPr>
        <w:spacing w:after="0"/>
        <w:jc w:val="both"/>
        <w:rPr>
          <w:rFonts w:cs="Calibri"/>
          <w:b/>
          <w:bCs/>
          <w:caps/>
        </w:rPr>
      </w:pPr>
      <w:r w:rsidRPr="005E7EE0">
        <w:rPr>
          <w:rFonts w:cs="Calibri"/>
          <w:b/>
          <w:bCs/>
          <w:cap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7A4390">
      <w:pPr>
        <w:numPr>
          <w:ilvl w:val="0"/>
          <w:numId w:val="28"/>
        </w:numPr>
        <w:spacing w:after="0"/>
        <w:jc w:val="both"/>
        <w:rPr>
          <w:rFonts w:cs="Calibri"/>
          <w:bCs/>
        </w:rPr>
      </w:pPr>
      <w:r w:rsidRPr="005E7EE0">
        <w:rPr>
          <w:rFonts w:cs="Calibri"/>
          <w:bCs/>
        </w:rPr>
        <w:t>Specyfikacja Istotnych Warunków Zamówienia dla przedmiotowego zadania,</w:t>
      </w:r>
    </w:p>
    <w:p w:rsidR="00307154" w:rsidRPr="005E7EE0" w:rsidRDefault="00307154" w:rsidP="007A4390">
      <w:pPr>
        <w:numPr>
          <w:ilvl w:val="0"/>
          <w:numId w:val="28"/>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7A4390">
      <w:pPr>
        <w:numPr>
          <w:ilvl w:val="0"/>
          <w:numId w:val="28"/>
        </w:numPr>
        <w:spacing w:after="0"/>
        <w:jc w:val="both"/>
        <w:rPr>
          <w:rFonts w:cs="Calibri"/>
          <w:bCs/>
        </w:rPr>
      </w:pPr>
      <w:r w:rsidRPr="005E7EE0">
        <w:rPr>
          <w:rFonts w:cs="Calibri"/>
          <w:bCs/>
        </w:rPr>
        <w:t>zatwierdzona przez Zamawiającego dokumentacja wykonawcza ww. zadania</w:t>
      </w:r>
    </w:p>
    <w:p w:rsidR="00307154" w:rsidRPr="005E7EE0" w:rsidRDefault="00307154" w:rsidP="007A4390">
      <w:pPr>
        <w:numPr>
          <w:ilvl w:val="0"/>
          <w:numId w:val="28"/>
        </w:numPr>
        <w:spacing w:after="0"/>
        <w:jc w:val="both"/>
        <w:rPr>
          <w:rFonts w:cs="Calibri"/>
          <w:bCs/>
        </w:rPr>
      </w:pPr>
      <w:r w:rsidRPr="005E7EE0">
        <w:rPr>
          <w:rFonts w:cs="Calibri"/>
          <w:bCs/>
        </w:rPr>
        <w:t>normy</w:t>
      </w:r>
    </w:p>
    <w:p w:rsidR="00307154" w:rsidRPr="005E7EE0" w:rsidRDefault="00307154" w:rsidP="007A4390">
      <w:pPr>
        <w:numPr>
          <w:ilvl w:val="0"/>
          <w:numId w:val="28"/>
        </w:numPr>
        <w:spacing w:after="0"/>
        <w:jc w:val="both"/>
        <w:rPr>
          <w:rFonts w:cs="Calibri"/>
          <w:bCs/>
        </w:rPr>
      </w:pPr>
      <w:r w:rsidRPr="005E7EE0">
        <w:rPr>
          <w:rFonts w:cs="Calibri"/>
          <w:bCs/>
        </w:rPr>
        <w:t>aprobaty techniczne</w:t>
      </w:r>
    </w:p>
    <w:p w:rsidR="00307154" w:rsidRPr="005E7EE0" w:rsidRDefault="00307154" w:rsidP="007A4390">
      <w:pPr>
        <w:numPr>
          <w:ilvl w:val="0"/>
          <w:numId w:val="28"/>
        </w:numPr>
        <w:spacing w:after="0"/>
        <w:jc w:val="both"/>
        <w:rPr>
          <w:rFonts w:cs="Calibri"/>
          <w:bCs/>
        </w:rPr>
      </w:pPr>
      <w:r w:rsidRPr="005E7EE0">
        <w:rPr>
          <w:rFonts w:cs="Calibri"/>
          <w:bCs/>
        </w:rPr>
        <w:t>inne dokumenty i ustalenia techniczne prowadzone w trakcie trwania inwestycji.</w:t>
      </w:r>
    </w:p>
    <w:p w:rsidR="00307154" w:rsidRPr="005E7EE0" w:rsidRDefault="00307154" w:rsidP="00307154">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Pracy i Polityki Socjalnej z dnia 26.09.1997 r. w sprawie ogólnych przepisów bezpieczeństwa i higieny pracy - Tekst jednolity Dz.U.2003.169.1650 (R) Ogólne przepisy bezpieczeństwa i higieny pracy.</w:t>
      </w:r>
    </w:p>
    <w:p w:rsidR="00307154" w:rsidRPr="00307154" w:rsidRDefault="00307154" w:rsidP="007A4390">
      <w:pPr>
        <w:pStyle w:val="Akapitzlist"/>
        <w:numPr>
          <w:ilvl w:val="0"/>
          <w:numId w:val="62"/>
        </w:numPr>
        <w:spacing w:after="0"/>
        <w:jc w:val="both"/>
        <w:rPr>
          <w:rFonts w:cs="Calibri"/>
          <w:bCs/>
        </w:rPr>
      </w:pPr>
      <w:r w:rsidRPr="00307154">
        <w:rPr>
          <w:rFonts w:cs="Calibri"/>
          <w:bCs/>
        </w:rPr>
        <w:t>Bezpieczeństwo i higiena pracy podczas wykonywania robót budowlanych – Dz.U. nr 47 poz. 401 z 2003 r.</w:t>
      </w:r>
    </w:p>
    <w:p w:rsidR="00307154" w:rsidRPr="00307154" w:rsidRDefault="00307154" w:rsidP="007A4390">
      <w:pPr>
        <w:pStyle w:val="Akapitzlist"/>
        <w:numPr>
          <w:ilvl w:val="0"/>
          <w:numId w:val="62"/>
        </w:numPr>
        <w:spacing w:after="0"/>
        <w:jc w:val="both"/>
        <w:rPr>
          <w:rFonts w:cs="Calibri"/>
          <w:bCs/>
        </w:rPr>
      </w:pPr>
      <w:r w:rsidRPr="00307154">
        <w:rPr>
          <w:rFonts w:cs="Calibri"/>
          <w:bCs/>
        </w:rPr>
        <w:t>Prawo budowlane – Dz.U nr 207 poz. 2016 z 2003 r.</w:t>
      </w:r>
    </w:p>
    <w:p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Spraw Wewnętrznych i Administracji z dnia 24.09.1998r. Dz.U. Nr 126, poz. 839 w sprawie ustalania geotechnicznych warunków posadowienia obiektów budowlanych.</w:t>
      </w:r>
    </w:p>
    <w:p w:rsidR="00307154" w:rsidRPr="00307154" w:rsidRDefault="00307154" w:rsidP="007A4390">
      <w:pPr>
        <w:pStyle w:val="Akapitzlist"/>
        <w:numPr>
          <w:ilvl w:val="0"/>
          <w:numId w:val="62"/>
        </w:numPr>
        <w:spacing w:after="0"/>
        <w:jc w:val="both"/>
        <w:rPr>
          <w:rFonts w:cs="Calibri"/>
          <w:bCs/>
        </w:rPr>
      </w:pPr>
      <w:r w:rsidRPr="00307154">
        <w:rPr>
          <w:rFonts w:cs="Calibri"/>
          <w:bCs/>
        </w:rPr>
        <w:t>Ustawa z dnia 15.02.1962 r. o ochronie dóbr kultury i muzeach Dz.U./1999 Nr 158 póz. 1150.</w:t>
      </w:r>
    </w:p>
    <w:p w:rsidR="00307154" w:rsidRPr="00307154" w:rsidRDefault="00307154" w:rsidP="007A4390">
      <w:pPr>
        <w:pStyle w:val="Akapitzlist"/>
        <w:numPr>
          <w:ilvl w:val="0"/>
          <w:numId w:val="62"/>
        </w:numPr>
        <w:spacing w:after="0"/>
        <w:jc w:val="both"/>
        <w:rPr>
          <w:rFonts w:cs="Calibri"/>
          <w:bCs/>
        </w:rPr>
      </w:pPr>
      <w:r w:rsidRPr="00307154">
        <w:rPr>
          <w:rFonts w:cs="Calibri"/>
          <w:bCs/>
        </w:rPr>
        <w:t>Ustawa z dnia 3.02.1995 r. o ochronie gruntów rolnych Dz.U Nr 16 póz 78 z późniejszymi zmianami</w:t>
      </w:r>
    </w:p>
    <w:p w:rsidR="00307154" w:rsidRDefault="00307154" w:rsidP="007A4390">
      <w:pPr>
        <w:pStyle w:val="Akapitzlist"/>
        <w:numPr>
          <w:ilvl w:val="0"/>
          <w:numId w:val="62"/>
        </w:numPr>
        <w:spacing w:after="0"/>
        <w:jc w:val="both"/>
        <w:rPr>
          <w:rFonts w:cs="Calibri"/>
          <w:bCs/>
        </w:rPr>
      </w:pPr>
      <w:r w:rsidRPr="00307154">
        <w:rPr>
          <w:rFonts w:cs="Calibri"/>
          <w:bCs/>
        </w:rPr>
        <w:t>Ustawa z dnia 27.04.2001 Prawo ochrony środowiska Dz. U. nr 62 poz.</w:t>
      </w:r>
      <w:r w:rsidR="00157162">
        <w:rPr>
          <w:rFonts w:cs="Calibri"/>
          <w:bCs/>
        </w:rPr>
        <w:t xml:space="preserve"> 627</w:t>
      </w:r>
    </w:p>
    <w:p w:rsidR="00CD458F" w:rsidRPr="00CD458F" w:rsidRDefault="00CD458F" w:rsidP="00CD458F">
      <w:pPr>
        <w:pStyle w:val="Akapitzlist"/>
        <w:numPr>
          <w:ilvl w:val="0"/>
          <w:numId w:val="62"/>
        </w:numPr>
        <w:spacing w:after="0"/>
        <w:jc w:val="both"/>
        <w:rPr>
          <w:rFonts w:cs="Calibri"/>
          <w:bCs/>
        </w:rPr>
      </w:pPr>
      <w:r w:rsidRPr="00CD458F">
        <w:rPr>
          <w:rFonts w:cs="Calibri"/>
          <w:bCs/>
        </w:rPr>
        <w:t>PN-B-04481:1988</w:t>
      </w:r>
      <w:r w:rsidRPr="00CD458F">
        <w:rPr>
          <w:rFonts w:cs="Calibri"/>
          <w:bCs/>
        </w:rPr>
        <w:tab/>
        <w:t>Grunty budowlane. Badania próbek gruntu</w:t>
      </w:r>
    </w:p>
    <w:p w:rsidR="00CD458F" w:rsidRPr="00CD458F" w:rsidRDefault="00CD458F" w:rsidP="00CD458F">
      <w:pPr>
        <w:pStyle w:val="Akapitzlist"/>
        <w:numPr>
          <w:ilvl w:val="0"/>
          <w:numId w:val="62"/>
        </w:numPr>
        <w:spacing w:after="0"/>
        <w:jc w:val="both"/>
        <w:rPr>
          <w:rFonts w:cs="Calibri"/>
          <w:bCs/>
        </w:rPr>
      </w:pPr>
      <w:r w:rsidRPr="00CD458F">
        <w:rPr>
          <w:rFonts w:cs="Calibri"/>
          <w:bCs/>
        </w:rPr>
        <w:t>PN-EN 933-1:2000</w:t>
      </w:r>
      <w:r w:rsidRPr="00CD458F">
        <w:rPr>
          <w:rFonts w:cs="Calibri"/>
          <w:bCs/>
        </w:rPr>
        <w:tab/>
        <w:t>Kruszywa mineralne. Badania. Oznaczanie składu ziarnowego</w:t>
      </w:r>
    </w:p>
    <w:p w:rsidR="00CD458F" w:rsidRPr="00CD458F" w:rsidRDefault="00CD458F" w:rsidP="00CD458F">
      <w:pPr>
        <w:pStyle w:val="Akapitzlist"/>
        <w:numPr>
          <w:ilvl w:val="0"/>
          <w:numId w:val="62"/>
        </w:numPr>
        <w:spacing w:after="0"/>
        <w:jc w:val="both"/>
        <w:rPr>
          <w:rFonts w:cs="Calibri"/>
          <w:bCs/>
        </w:rPr>
      </w:pPr>
      <w:r w:rsidRPr="00CD458F">
        <w:rPr>
          <w:rFonts w:cs="Calibri"/>
          <w:bCs/>
        </w:rPr>
        <w:t>PN-EN 933-4:2001</w:t>
      </w:r>
      <w:r w:rsidRPr="00CD458F">
        <w:rPr>
          <w:rFonts w:cs="Calibri"/>
          <w:bCs/>
        </w:rPr>
        <w:tab/>
        <w:t>Kruszywa mineralne. Badania. Oznaczanie kształtu ziaren</w:t>
      </w:r>
    </w:p>
    <w:p w:rsidR="00CD458F" w:rsidRPr="00CD458F" w:rsidRDefault="00CD458F" w:rsidP="00CD458F">
      <w:pPr>
        <w:pStyle w:val="Akapitzlist"/>
        <w:numPr>
          <w:ilvl w:val="0"/>
          <w:numId w:val="62"/>
        </w:numPr>
        <w:spacing w:after="0"/>
        <w:jc w:val="both"/>
        <w:rPr>
          <w:rFonts w:cs="Calibri"/>
          <w:bCs/>
        </w:rPr>
      </w:pPr>
      <w:r w:rsidRPr="00CD458F">
        <w:rPr>
          <w:rFonts w:cs="Calibri"/>
          <w:bCs/>
        </w:rPr>
        <w:t>PN-EN 1097-5:2001</w:t>
      </w:r>
      <w:r w:rsidRPr="00CD458F">
        <w:rPr>
          <w:rFonts w:cs="Calibri"/>
          <w:bCs/>
        </w:rPr>
        <w:tab/>
        <w:t>Kruszywa mineralne. Badania. Oznaczanie wilgotności</w:t>
      </w:r>
    </w:p>
    <w:p w:rsidR="00CD458F" w:rsidRPr="00CD458F" w:rsidRDefault="00CD458F" w:rsidP="00CD458F">
      <w:pPr>
        <w:pStyle w:val="Akapitzlist"/>
        <w:numPr>
          <w:ilvl w:val="0"/>
          <w:numId w:val="62"/>
        </w:numPr>
        <w:spacing w:after="0"/>
        <w:jc w:val="both"/>
        <w:rPr>
          <w:rFonts w:cs="Calibri"/>
          <w:bCs/>
        </w:rPr>
      </w:pPr>
      <w:r w:rsidRPr="00CD458F">
        <w:rPr>
          <w:rFonts w:cs="Calibri"/>
          <w:bCs/>
        </w:rPr>
        <w:t>PN-EN 1097-6:2002</w:t>
      </w:r>
      <w:r w:rsidRPr="00CD458F">
        <w:rPr>
          <w:rFonts w:cs="Calibri"/>
          <w:bCs/>
        </w:rPr>
        <w:tab/>
        <w:t>Kruszywa mineralne. Badania. Oznaczanie nasiąkliwości</w:t>
      </w:r>
    </w:p>
    <w:p w:rsidR="00CD458F" w:rsidRPr="00CD458F" w:rsidRDefault="00CD458F" w:rsidP="00CD458F">
      <w:pPr>
        <w:pStyle w:val="Akapitzlist"/>
        <w:numPr>
          <w:ilvl w:val="0"/>
          <w:numId w:val="62"/>
        </w:numPr>
        <w:spacing w:after="0"/>
        <w:jc w:val="both"/>
        <w:rPr>
          <w:rFonts w:cs="Calibri"/>
          <w:bCs/>
        </w:rPr>
      </w:pPr>
      <w:r w:rsidRPr="00CD458F">
        <w:rPr>
          <w:rFonts w:cs="Calibri"/>
          <w:bCs/>
        </w:rPr>
        <w:lastRenderedPageBreak/>
        <w:t>PN-EN 1367-1:2001</w:t>
      </w:r>
      <w:r w:rsidRPr="00CD458F">
        <w:rPr>
          <w:rFonts w:cs="Calibri"/>
          <w:bCs/>
        </w:rPr>
        <w:tab/>
        <w:t>Kruszywa mineralne. Badania. Oznaczanie mrozoodporności metodą bezpośrednią</w:t>
      </w:r>
    </w:p>
    <w:p w:rsidR="00CD458F" w:rsidRPr="00CD458F" w:rsidRDefault="00CD458F" w:rsidP="00CD458F">
      <w:pPr>
        <w:pStyle w:val="Akapitzlist"/>
        <w:numPr>
          <w:ilvl w:val="0"/>
          <w:numId w:val="62"/>
        </w:numPr>
        <w:spacing w:after="0"/>
        <w:jc w:val="both"/>
        <w:rPr>
          <w:rFonts w:cs="Calibri"/>
          <w:bCs/>
        </w:rPr>
      </w:pPr>
      <w:r w:rsidRPr="00CD458F">
        <w:rPr>
          <w:rFonts w:cs="Calibri"/>
          <w:bCs/>
        </w:rPr>
        <w:t>PN-EN 1744-1:2000</w:t>
      </w:r>
      <w:r w:rsidRPr="00CD458F">
        <w:rPr>
          <w:rFonts w:cs="Calibri"/>
          <w:bCs/>
        </w:rPr>
        <w:tab/>
        <w:t>Kruszywa mineralne. Badania. Oznaczanie zawartości zanieczyszczeń organicznych</w:t>
      </w:r>
    </w:p>
    <w:p w:rsidR="00CD458F" w:rsidRPr="00CD458F" w:rsidRDefault="00CD458F" w:rsidP="00CD458F">
      <w:pPr>
        <w:pStyle w:val="Akapitzlist"/>
        <w:numPr>
          <w:ilvl w:val="0"/>
          <w:numId w:val="62"/>
        </w:numPr>
        <w:spacing w:after="0"/>
        <w:jc w:val="both"/>
        <w:rPr>
          <w:rFonts w:cs="Calibri"/>
          <w:bCs/>
        </w:rPr>
      </w:pPr>
      <w:r w:rsidRPr="00CD458F">
        <w:rPr>
          <w:rFonts w:cs="Calibri"/>
          <w:bCs/>
        </w:rPr>
        <w:t>PN-EN 1744-1:2000</w:t>
      </w:r>
      <w:r w:rsidRPr="00CD458F">
        <w:rPr>
          <w:rFonts w:cs="Calibri"/>
          <w:bCs/>
        </w:rPr>
        <w:tab/>
        <w:t>Kruszywa mineralne. Badania. Oznaczanie zawartości siarki metodą bromową</w:t>
      </w:r>
    </w:p>
    <w:p w:rsidR="00CD458F" w:rsidRPr="00CD458F" w:rsidRDefault="00CD458F" w:rsidP="00CD458F">
      <w:pPr>
        <w:pStyle w:val="Akapitzlist"/>
        <w:numPr>
          <w:ilvl w:val="0"/>
          <w:numId w:val="62"/>
        </w:numPr>
        <w:spacing w:after="0"/>
        <w:jc w:val="both"/>
        <w:rPr>
          <w:rFonts w:cs="Calibri"/>
          <w:bCs/>
        </w:rPr>
      </w:pPr>
      <w:r w:rsidRPr="00CD458F">
        <w:rPr>
          <w:rFonts w:cs="Calibri"/>
          <w:bCs/>
        </w:rPr>
        <w:t>PN-EN 1097-2:2000</w:t>
      </w:r>
      <w:r w:rsidRPr="00CD458F">
        <w:rPr>
          <w:rFonts w:cs="Calibri"/>
          <w:bCs/>
        </w:rPr>
        <w:tab/>
        <w:t>Kruszywa mineralne. Badania. Oznaczanie ścieralności w bębnie Los Angeles</w:t>
      </w:r>
    </w:p>
    <w:p w:rsidR="00CD458F" w:rsidRPr="00CD458F" w:rsidRDefault="00CD458F" w:rsidP="00CD458F">
      <w:pPr>
        <w:pStyle w:val="Akapitzlist"/>
        <w:numPr>
          <w:ilvl w:val="0"/>
          <w:numId w:val="62"/>
        </w:numPr>
        <w:spacing w:after="0"/>
        <w:jc w:val="both"/>
        <w:rPr>
          <w:rFonts w:cs="Calibri"/>
          <w:bCs/>
        </w:rPr>
      </w:pPr>
      <w:r w:rsidRPr="00CD458F">
        <w:rPr>
          <w:rFonts w:cs="Calibri"/>
          <w:bCs/>
        </w:rPr>
        <w:t>PN-EN 13043:2004</w:t>
      </w:r>
      <w:r w:rsidRPr="00CD458F">
        <w:rPr>
          <w:rFonts w:cs="Calibri"/>
          <w:bCs/>
        </w:rPr>
        <w:tab/>
        <w:t>Kruszywa mineralne. Kruszywa łamane do nawierzchni drogowych</w:t>
      </w:r>
    </w:p>
    <w:p w:rsidR="00CD458F" w:rsidRPr="00CD458F" w:rsidRDefault="00CD458F" w:rsidP="00CD458F">
      <w:pPr>
        <w:pStyle w:val="Akapitzlist"/>
        <w:numPr>
          <w:ilvl w:val="0"/>
          <w:numId w:val="62"/>
        </w:numPr>
        <w:spacing w:after="0"/>
        <w:jc w:val="both"/>
        <w:rPr>
          <w:rFonts w:cs="Calibri"/>
          <w:bCs/>
        </w:rPr>
      </w:pPr>
      <w:r w:rsidRPr="00CD458F">
        <w:rPr>
          <w:rFonts w:cs="Calibri"/>
          <w:bCs/>
        </w:rPr>
        <w:t>PN-EN1008-1:2004</w:t>
      </w:r>
      <w:r w:rsidRPr="00CD458F">
        <w:rPr>
          <w:rFonts w:cs="Calibri"/>
          <w:bCs/>
        </w:rPr>
        <w:tab/>
        <w:t>Woda zarobowa do betonu. Specyfikacja pobierania próbek, badanie</w:t>
      </w:r>
    </w:p>
    <w:p w:rsidR="00CD458F" w:rsidRPr="00CD458F" w:rsidRDefault="00CD458F" w:rsidP="00CD458F">
      <w:pPr>
        <w:pStyle w:val="Akapitzlist"/>
        <w:numPr>
          <w:ilvl w:val="0"/>
          <w:numId w:val="62"/>
        </w:numPr>
        <w:spacing w:after="0"/>
        <w:jc w:val="both"/>
        <w:rPr>
          <w:rFonts w:cs="Calibri"/>
          <w:bCs/>
        </w:rPr>
      </w:pPr>
      <w:r w:rsidRPr="00CD458F">
        <w:rPr>
          <w:rFonts w:cs="Calibri"/>
          <w:bCs/>
        </w:rPr>
        <w:t>PN-S-06102:1997</w:t>
      </w:r>
      <w:r w:rsidRPr="00CD458F">
        <w:rPr>
          <w:rFonts w:cs="Calibri"/>
          <w:bCs/>
        </w:rPr>
        <w:tab/>
        <w:t>Drogi samochodowe. Podbudowy z kruszyw stabilizowanych mechanicznie</w:t>
      </w:r>
    </w:p>
    <w:p w:rsidR="00CD458F" w:rsidRPr="00CD458F" w:rsidRDefault="00CD458F" w:rsidP="00CD458F">
      <w:pPr>
        <w:pStyle w:val="Akapitzlist"/>
        <w:numPr>
          <w:ilvl w:val="0"/>
          <w:numId w:val="62"/>
        </w:numPr>
        <w:spacing w:after="0"/>
        <w:jc w:val="both"/>
        <w:rPr>
          <w:rFonts w:cs="Calibri"/>
          <w:bCs/>
        </w:rPr>
      </w:pPr>
      <w:r w:rsidRPr="00CD458F">
        <w:rPr>
          <w:rFonts w:cs="Calibri"/>
          <w:bCs/>
        </w:rPr>
        <w:t>BN-64/8931-01</w:t>
      </w:r>
      <w:r w:rsidRPr="00CD458F">
        <w:rPr>
          <w:rFonts w:cs="Calibri"/>
          <w:bCs/>
        </w:rPr>
        <w:tab/>
        <w:t>Drogi samochodowe. Oznaczanie wskaźnika piaskowego</w:t>
      </w:r>
    </w:p>
    <w:p w:rsidR="00CD458F" w:rsidRPr="00CD458F" w:rsidRDefault="00CD458F" w:rsidP="00CD458F">
      <w:pPr>
        <w:pStyle w:val="Akapitzlist"/>
        <w:numPr>
          <w:ilvl w:val="0"/>
          <w:numId w:val="62"/>
        </w:numPr>
        <w:spacing w:after="0"/>
        <w:jc w:val="both"/>
        <w:rPr>
          <w:rFonts w:cs="Calibri"/>
          <w:bCs/>
        </w:rPr>
      </w:pPr>
      <w:r w:rsidRPr="00CD458F">
        <w:rPr>
          <w:rFonts w:cs="Calibri"/>
          <w:bCs/>
        </w:rPr>
        <w:t>BN-68/8931-04</w:t>
      </w:r>
      <w:r w:rsidRPr="00CD458F">
        <w:rPr>
          <w:rFonts w:cs="Calibri"/>
          <w:bCs/>
        </w:rPr>
        <w:tab/>
        <w:t xml:space="preserve">Drogi samochodowe. Pomiar równości nawierzchni </w:t>
      </w:r>
      <w:proofErr w:type="spellStart"/>
      <w:r w:rsidRPr="00CD458F">
        <w:rPr>
          <w:rFonts w:cs="Calibri"/>
          <w:bCs/>
        </w:rPr>
        <w:t>planografem</w:t>
      </w:r>
      <w:proofErr w:type="spellEnd"/>
      <w:r w:rsidRPr="00CD458F">
        <w:rPr>
          <w:rFonts w:cs="Calibri"/>
          <w:bCs/>
        </w:rPr>
        <w:t xml:space="preserve"> i łatą</w:t>
      </w:r>
    </w:p>
    <w:p w:rsidR="00CD458F" w:rsidRDefault="00CD458F" w:rsidP="00CD458F">
      <w:pPr>
        <w:pStyle w:val="Akapitzlist"/>
        <w:numPr>
          <w:ilvl w:val="0"/>
          <w:numId w:val="62"/>
        </w:numPr>
        <w:spacing w:after="0"/>
        <w:jc w:val="both"/>
        <w:rPr>
          <w:rFonts w:cs="Calibri"/>
          <w:bCs/>
        </w:rPr>
      </w:pPr>
      <w:r w:rsidRPr="00CD458F">
        <w:rPr>
          <w:rFonts w:cs="Calibri"/>
          <w:bCs/>
        </w:rPr>
        <w:t>BN-77/8931-12</w:t>
      </w:r>
      <w:r w:rsidRPr="00CD458F">
        <w:rPr>
          <w:rFonts w:cs="Calibri"/>
          <w:bCs/>
        </w:rPr>
        <w:tab/>
        <w:t>Oznaczanie wskaźnika zagęszczenia gruntu</w:t>
      </w:r>
    </w:p>
    <w:p w:rsidR="00CD458F" w:rsidRDefault="00CD458F" w:rsidP="00307154">
      <w:pPr>
        <w:spacing w:after="0"/>
        <w:jc w:val="both"/>
        <w:rPr>
          <w:rFonts w:cs="Calibri"/>
          <w:bCs/>
        </w:rPr>
      </w:pPr>
    </w:p>
    <w:p w:rsidR="00307154" w:rsidRPr="00307154" w:rsidRDefault="00307154" w:rsidP="00307154">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rsidR="0054386D" w:rsidRDefault="00307154" w:rsidP="009D2BF2">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sectPr w:rsidR="0054386D" w:rsidSect="00FC71E4">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7AE" w:rsidRDefault="001147AE" w:rsidP="00655659">
      <w:pPr>
        <w:spacing w:after="0" w:line="240" w:lineRule="auto"/>
      </w:pPr>
      <w:r>
        <w:separator/>
      </w:r>
    </w:p>
  </w:endnote>
  <w:endnote w:type="continuationSeparator" w:id="0">
    <w:p w:rsidR="001147AE" w:rsidRDefault="001147AE"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C7662F" w:rsidRPr="00B42AED">
      <w:rPr>
        <w:sz w:val="18"/>
        <w:szCs w:val="18"/>
      </w:rPr>
      <w:fldChar w:fldCharType="begin"/>
    </w:r>
    <w:r w:rsidRPr="00B42AED">
      <w:rPr>
        <w:sz w:val="18"/>
        <w:szCs w:val="18"/>
      </w:rPr>
      <w:instrText xml:space="preserve"> PAGE   \* MERGEFORMAT </w:instrText>
    </w:r>
    <w:r w:rsidR="00C7662F" w:rsidRPr="00B42AED">
      <w:rPr>
        <w:sz w:val="18"/>
        <w:szCs w:val="18"/>
      </w:rPr>
      <w:fldChar w:fldCharType="separate"/>
    </w:r>
    <w:r w:rsidR="006E7003">
      <w:rPr>
        <w:noProof/>
        <w:sz w:val="18"/>
        <w:szCs w:val="18"/>
      </w:rPr>
      <w:t>10</w:t>
    </w:r>
    <w:r w:rsidR="00C7662F" w:rsidRPr="00B42AED">
      <w:rPr>
        <w:sz w:val="18"/>
        <w:szCs w:val="18"/>
      </w:rPr>
      <w:fldChar w:fldCharType="end"/>
    </w:r>
  </w:p>
  <w:p w:rsidR="007C57D7" w:rsidRPr="00B42AED" w:rsidRDefault="005E56E0" w:rsidP="005E56E0">
    <w:pPr>
      <w:pStyle w:val="Stopka"/>
      <w:tabs>
        <w:tab w:val="clear" w:pos="4536"/>
        <w:tab w:val="center" w:pos="6804"/>
      </w:tabs>
      <w:jc w:val="right"/>
      <w:rPr>
        <w:sz w:val="18"/>
        <w:szCs w:val="18"/>
      </w:rPr>
    </w:pPr>
    <w:r w:rsidRPr="005E56E0">
      <w:rPr>
        <w:bCs/>
        <w:sz w:val="18"/>
        <w:szCs w:val="18"/>
      </w:rPr>
      <w:t>Podbudowy z kruszywa stabilizowanego mechanicznie</w:t>
    </w:r>
    <w:r w:rsidR="00506EA9">
      <w:rPr>
        <w:bCs/>
        <w:sz w:val="18"/>
        <w:szCs w:val="18"/>
      </w:rPr>
      <w:t xml:space="preserve"> – ST </w:t>
    </w:r>
    <w:r w:rsidR="00AF47E8">
      <w:rPr>
        <w:bCs/>
        <w:sz w:val="18"/>
        <w:szCs w:val="18"/>
      </w:rPr>
      <w:t>0</w:t>
    </w:r>
    <w:r w:rsidR="009A5E2B">
      <w:rPr>
        <w:bCs/>
        <w:sz w:val="18"/>
        <w:szCs w:val="18"/>
      </w:rPr>
      <w:t>1</w:t>
    </w:r>
    <w:r w:rsidR="00664B1C">
      <w:rPr>
        <w:bCs/>
        <w:sz w:val="18"/>
        <w:szCs w:val="18"/>
      </w:rPr>
      <w:t>.</w:t>
    </w:r>
    <w:r w:rsidR="006E7003">
      <w:rPr>
        <w:bCs/>
        <w:sz w:val="18"/>
        <w:szCs w:val="18"/>
      </w:rPr>
      <w:t>1</w:t>
    </w:r>
    <w:r w:rsidR="00056020">
      <w:rPr>
        <w:bCs/>
        <w:sz w:val="18"/>
        <w:szCs w:val="18"/>
      </w:rPr>
      <w:t>4</w:t>
    </w:r>
    <w:r w:rsidR="007C57D7" w:rsidRPr="00B42AED">
      <w:rPr>
        <w:bCs/>
        <w:sz w:val="18"/>
        <w:szCs w:val="18"/>
      </w:rPr>
      <w:tab/>
    </w:r>
    <w:r w:rsidR="007C57D7"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7AE" w:rsidRDefault="001147AE" w:rsidP="00655659">
      <w:pPr>
        <w:spacing w:after="0" w:line="240" w:lineRule="auto"/>
      </w:pPr>
      <w:r>
        <w:separator/>
      </w:r>
    </w:p>
  </w:footnote>
  <w:footnote w:type="continuationSeparator" w:id="0">
    <w:p w:rsidR="001147AE" w:rsidRDefault="001147AE"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22384"/>
    <w:multiLevelType w:val="hybridMultilevel"/>
    <w:tmpl w:val="7E5CF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2330E1"/>
    <w:multiLevelType w:val="hybridMultilevel"/>
    <w:tmpl w:val="C3A63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4E70FD"/>
    <w:multiLevelType w:val="hybridMultilevel"/>
    <w:tmpl w:val="ADCAB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B517D7"/>
    <w:multiLevelType w:val="hybridMultilevel"/>
    <w:tmpl w:val="FAB24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426180"/>
    <w:multiLevelType w:val="singleLevel"/>
    <w:tmpl w:val="4E78D8B0"/>
    <w:lvl w:ilvl="0">
      <w:start w:val="1"/>
      <w:numFmt w:val="lowerLetter"/>
      <w:lvlText w:val="%1)"/>
      <w:lvlJc w:val="left"/>
      <w:pPr>
        <w:tabs>
          <w:tab w:val="num" w:pos="360"/>
        </w:tabs>
        <w:ind w:left="360" w:hanging="360"/>
      </w:pPr>
      <w:rPr>
        <w:rFonts w:hint="default"/>
      </w:rPr>
    </w:lvl>
  </w:abstractNum>
  <w:abstractNum w:abstractNumId="5" w15:restartNumberingAfterBreak="0">
    <w:nsid w:val="0C6C2A61"/>
    <w:multiLevelType w:val="hybridMultilevel"/>
    <w:tmpl w:val="04022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9A1805"/>
    <w:multiLevelType w:val="hybridMultilevel"/>
    <w:tmpl w:val="C96A7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C65D4E"/>
    <w:multiLevelType w:val="hybridMultilevel"/>
    <w:tmpl w:val="947CE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3F773A"/>
    <w:multiLevelType w:val="hybridMultilevel"/>
    <w:tmpl w:val="893AD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784E34"/>
    <w:multiLevelType w:val="hybridMultilevel"/>
    <w:tmpl w:val="BAEEB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2010ED"/>
    <w:multiLevelType w:val="hybridMultilevel"/>
    <w:tmpl w:val="F1722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5F1A5C"/>
    <w:multiLevelType w:val="multilevel"/>
    <w:tmpl w:val="C1880B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A34F84"/>
    <w:multiLevelType w:val="hybridMultilevel"/>
    <w:tmpl w:val="CA5E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AC0636"/>
    <w:multiLevelType w:val="hybridMultilevel"/>
    <w:tmpl w:val="E452D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D5458CE"/>
    <w:multiLevelType w:val="hybridMultilevel"/>
    <w:tmpl w:val="2A12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D74FC6"/>
    <w:multiLevelType w:val="hybridMultilevel"/>
    <w:tmpl w:val="C0D89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187642B"/>
    <w:multiLevelType w:val="hybridMultilevel"/>
    <w:tmpl w:val="8630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1D23ABE"/>
    <w:multiLevelType w:val="hybridMultilevel"/>
    <w:tmpl w:val="A68AA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0B0D12"/>
    <w:multiLevelType w:val="multilevel"/>
    <w:tmpl w:val="81CAA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22" w15:restartNumberingAfterBreak="0">
    <w:nsid w:val="2CF20C8B"/>
    <w:multiLevelType w:val="hybridMultilevel"/>
    <w:tmpl w:val="C64A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3C2846"/>
    <w:multiLevelType w:val="hybridMultilevel"/>
    <w:tmpl w:val="89A4B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F00ACC"/>
    <w:multiLevelType w:val="hybridMultilevel"/>
    <w:tmpl w:val="E9842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7"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D854646"/>
    <w:multiLevelType w:val="hybridMultilevel"/>
    <w:tmpl w:val="4AA649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853F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605669"/>
    <w:multiLevelType w:val="hybridMultilevel"/>
    <w:tmpl w:val="67A23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402867"/>
    <w:multiLevelType w:val="hybridMultilevel"/>
    <w:tmpl w:val="84A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73C0875"/>
    <w:multiLevelType w:val="hybridMultilevel"/>
    <w:tmpl w:val="223A6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9C559C0"/>
    <w:multiLevelType w:val="multilevel"/>
    <w:tmpl w:val="1234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A172756"/>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A7A7361"/>
    <w:multiLevelType w:val="hybridMultilevel"/>
    <w:tmpl w:val="50205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BDD19FD"/>
    <w:multiLevelType w:val="hybridMultilevel"/>
    <w:tmpl w:val="B2781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F9E22B3"/>
    <w:multiLevelType w:val="hybridMultilevel"/>
    <w:tmpl w:val="08108B48"/>
    <w:lvl w:ilvl="0" w:tplc="533A693E">
      <w:start w:val="1"/>
      <w:numFmt w:val="lowerLetter"/>
      <w:lvlText w:val="%1)"/>
      <w:lvlJc w:val="left"/>
      <w:pPr>
        <w:tabs>
          <w:tab w:val="num" w:pos="361"/>
        </w:tabs>
        <w:ind w:left="361" w:hanging="360"/>
      </w:pPr>
      <w:rPr>
        <w:rFonts w:hint="default"/>
      </w:rPr>
    </w:lvl>
    <w:lvl w:ilvl="1" w:tplc="04150019" w:tentative="1">
      <w:start w:val="1"/>
      <w:numFmt w:val="lowerLetter"/>
      <w:lvlText w:val="%2."/>
      <w:lvlJc w:val="left"/>
      <w:pPr>
        <w:tabs>
          <w:tab w:val="num" w:pos="1081"/>
        </w:tabs>
        <w:ind w:left="1081" w:hanging="360"/>
      </w:pPr>
    </w:lvl>
    <w:lvl w:ilvl="2" w:tplc="0415001B" w:tentative="1">
      <w:start w:val="1"/>
      <w:numFmt w:val="lowerRoman"/>
      <w:lvlText w:val="%3."/>
      <w:lvlJc w:val="right"/>
      <w:pPr>
        <w:tabs>
          <w:tab w:val="num" w:pos="1801"/>
        </w:tabs>
        <w:ind w:left="1801" w:hanging="180"/>
      </w:pPr>
    </w:lvl>
    <w:lvl w:ilvl="3" w:tplc="0415000F" w:tentative="1">
      <w:start w:val="1"/>
      <w:numFmt w:val="decimal"/>
      <w:lvlText w:val="%4."/>
      <w:lvlJc w:val="left"/>
      <w:pPr>
        <w:tabs>
          <w:tab w:val="num" w:pos="2521"/>
        </w:tabs>
        <w:ind w:left="2521" w:hanging="360"/>
      </w:pPr>
    </w:lvl>
    <w:lvl w:ilvl="4" w:tplc="04150019" w:tentative="1">
      <w:start w:val="1"/>
      <w:numFmt w:val="lowerLetter"/>
      <w:lvlText w:val="%5."/>
      <w:lvlJc w:val="left"/>
      <w:pPr>
        <w:tabs>
          <w:tab w:val="num" w:pos="3241"/>
        </w:tabs>
        <w:ind w:left="3241" w:hanging="360"/>
      </w:pPr>
    </w:lvl>
    <w:lvl w:ilvl="5" w:tplc="0415001B" w:tentative="1">
      <w:start w:val="1"/>
      <w:numFmt w:val="lowerRoman"/>
      <w:lvlText w:val="%6."/>
      <w:lvlJc w:val="right"/>
      <w:pPr>
        <w:tabs>
          <w:tab w:val="num" w:pos="3961"/>
        </w:tabs>
        <w:ind w:left="3961" w:hanging="180"/>
      </w:pPr>
    </w:lvl>
    <w:lvl w:ilvl="6" w:tplc="0415000F" w:tentative="1">
      <w:start w:val="1"/>
      <w:numFmt w:val="decimal"/>
      <w:lvlText w:val="%7."/>
      <w:lvlJc w:val="left"/>
      <w:pPr>
        <w:tabs>
          <w:tab w:val="num" w:pos="4681"/>
        </w:tabs>
        <w:ind w:left="4681" w:hanging="360"/>
      </w:pPr>
    </w:lvl>
    <w:lvl w:ilvl="7" w:tplc="04150019" w:tentative="1">
      <w:start w:val="1"/>
      <w:numFmt w:val="lowerLetter"/>
      <w:lvlText w:val="%8."/>
      <w:lvlJc w:val="left"/>
      <w:pPr>
        <w:tabs>
          <w:tab w:val="num" w:pos="5401"/>
        </w:tabs>
        <w:ind w:left="5401" w:hanging="360"/>
      </w:pPr>
    </w:lvl>
    <w:lvl w:ilvl="8" w:tplc="0415001B" w:tentative="1">
      <w:start w:val="1"/>
      <w:numFmt w:val="lowerRoman"/>
      <w:lvlText w:val="%9."/>
      <w:lvlJc w:val="right"/>
      <w:pPr>
        <w:tabs>
          <w:tab w:val="num" w:pos="6121"/>
        </w:tabs>
        <w:ind w:left="6121" w:hanging="180"/>
      </w:pPr>
    </w:lvl>
  </w:abstractNum>
  <w:abstractNum w:abstractNumId="39" w15:restartNumberingAfterBreak="0">
    <w:nsid w:val="51697D8B"/>
    <w:multiLevelType w:val="hybridMultilevel"/>
    <w:tmpl w:val="2FB8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1FD2616"/>
    <w:multiLevelType w:val="hybridMultilevel"/>
    <w:tmpl w:val="9A14A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4A593D"/>
    <w:multiLevelType w:val="hybridMultilevel"/>
    <w:tmpl w:val="0330A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CD76C06"/>
    <w:multiLevelType w:val="hybridMultilevel"/>
    <w:tmpl w:val="D9EA9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2DF5DA0"/>
    <w:multiLevelType w:val="hybridMultilevel"/>
    <w:tmpl w:val="FE767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30E6740"/>
    <w:multiLevelType w:val="hybridMultilevel"/>
    <w:tmpl w:val="8D08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34E7F89"/>
    <w:multiLevelType w:val="hybridMultilevel"/>
    <w:tmpl w:val="236C2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4F902AE"/>
    <w:multiLevelType w:val="hybridMultilevel"/>
    <w:tmpl w:val="F80A3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54E35F9"/>
    <w:multiLevelType w:val="hybridMultilevel"/>
    <w:tmpl w:val="AB5EA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6854B24"/>
    <w:multiLevelType w:val="hybridMultilevel"/>
    <w:tmpl w:val="452C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6DD6AA0"/>
    <w:multiLevelType w:val="hybridMultilevel"/>
    <w:tmpl w:val="12361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6E53A38"/>
    <w:multiLevelType w:val="hybridMultilevel"/>
    <w:tmpl w:val="61F67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8BA6F38"/>
    <w:multiLevelType w:val="hybridMultilevel"/>
    <w:tmpl w:val="2E3C03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8D576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9023A18"/>
    <w:multiLevelType w:val="hybridMultilevel"/>
    <w:tmpl w:val="EC529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D982540"/>
    <w:multiLevelType w:val="hybridMultilevel"/>
    <w:tmpl w:val="98B03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DD608C3"/>
    <w:multiLevelType w:val="hybridMultilevel"/>
    <w:tmpl w:val="BF6AF196"/>
    <w:lvl w:ilvl="0" w:tplc="BC86D03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6F5C6D70"/>
    <w:multiLevelType w:val="hybridMultilevel"/>
    <w:tmpl w:val="49546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4302A9E"/>
    <w:multiLevelType w:val="hybridMultilevel"/>
    <w:tmpl w:val="A86CB21E"/>
    <w:lvl w:ilvl="0" w:tplc="04150017">
      <w:start w:val="1"/>
      <w:numFmt w:val="lowerLetter"/>
      <w:lvlText w:val="%1)"/>
      <w:lvlJc w:val="left"/>
      <w:pPr>
        <w:ind w:left="720" w:hanging="360"/>
      </w:pPr>
    </w:lvl>
    <w:lvl w:ilvl="1" w:tplc="979CCC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431A37"/>
    <w:multiLevelType w:val="hybridMultilevel"/>
    <w:tmpl w:val="5BC068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7C45A49"/>
    <w:multiLevelType w:val="hybridMultilevel"/>
    <w:tmpl w:val="C60EA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9C96965"/>
    <w:multiLevelType w:val="hybridMultilevel"/>
    <w:tmpl w:val="457037FC"/>
    <w:lvl w:ilvl="0" w:tplc="BC86D03A">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7AA54D09"/>
    <w:multiLevelType w:val="hybridMultilevel"/>
    <w:tmpl w:val="168AE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B6F2CAA"/>
    <w:multiLevelType w:val="hybridMultilevel"/>
    <w:tmpl w:val="7CA89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C760AC"/>
    <w:multiLevelType w:val="hybridMultilevel"/>
    <w:tmpl w:val="ECC60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134070"/>
    <w:multiLevelType w:val="hybridMultilevel"/>
    <w:tmpl w:val="B462C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784F6A"/>
    <w:multiLevelType w:val="hybridMultilevel"/>
    <w:tmpl w:val="513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05488E"/>
    <w:multiLevelType w:val="hybridMultilevel"/>
    <w:tmpl w:val="66D4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FC928F0"/>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54"/>
  </w:num>
  <w:num w:numId="3">
    <w:abstractNumId w:val="29"/>
  </w:num>
  <w:num w:numId="4">
    <w:abstractNumId w:val="46"/>
  </w:num>
  <w:num w:numId="5">
    <w:abstractNumId w:val="45"/>
  </w:num>
  <w:num w:numId="6">
    <w:abstractNumId w:val="15"/>
  </w:num>
  <w:num w:numId="7">
    <w:abstractNumId w:val="7"/>
  </w:num>
  <w:num w:numId="8">
    <w:abstractNumId w:val="30"/>
  </w:num>
  <w:num w:numId="9">
    <w:abstractNumId w:val="60"/>
  </w:num>
  <w:num w:numId="10">
    <w:abstractNumId w:val="22"/>
  </w:num>
  <w:num w:numId="11">
    <w:abstractNumId w:val="49"/>
  </w:num>
  <w:num w:numId="12">
    <w:abstractNumId w:val="52"/>
  </w:num>
  <w:num w:numId="13">
    <w:abstractNumId w:val="11"/>
  </w:num>
  <w:num w:numId="14">
    <w:abstractNumId w:val="40"/>
  </w:num>
  <w:num w:numId="15">
    <w:abstractNumId w:val="59"/>
  </w:num>
  <w:num w:numId="16">
    <w:abstractNumId w:val="5"/>
  </w:num>
  <w:num w:numId="17">
    <w:abstractNumId w:val="20"/>
  </w:num>
  <w:num w:numId="18">
    <w:abstractNumId w:val="27"/>
  </w:num>
  <w:num w:numId="19">
    <w:abstractNumId w:val="28"/>
  </w:num>
  <w:num w:numId="20">
    <w:abstractNumId w:val="65"/>
  </w:num>
  <w:num w:numId="21">
    <w:abstractNumId w:val="64"/>
  </w:num>
  <w:num w:numId="22">
    <w:abstractNumId w:val="69"/>
  </w:num>
  <w:num w:numId="23">
    <w:abstractNumId w:val="1"/>
  </w:num>
  <w:num w:numId="24">
    <w:abstractNumId w:val="70"/>
  </w:num>
  <w:num w:numId="25">
    <w:abstractNumId w:val="6"/>
  </w:num>
  <w:num w:numId="26">
    <w:abstractNumId w:val="16"/>
  </w:num>
  <w:num w:numId="27">
    <w:abstractNumId w:val="9"/>
  </w:num>
  <w:num w:numId="28">
    <w:abstractNumId w:val="17"/>
  </w:num>
  <w:num w:numId="29">
    <w:abstractNumId w:val="8"/>
  </w:num>
  <w:num w:numId="30">
    <w:abstractNumId w:val="67"/>
  </w:num>
  <w:num w:numId="31">
    <w:abstractNumId w:val="39"/>
  </w:num>
  <w:num w:numId="32">
    <w:abstractNumId w:val="13"/>
  </w:num>
  <w:num w:numId="33">
    <w:abstractNumId w:val="48"/>
  </w:num>
  <w:num w:numId="34">
    <w:abstractNumId w:val="18"/>
  </w:num>
  <w:num w:numId="35">
    <w:abstractNumId w:val="47"/>
  </w:num>
  <w:num w:numId="36">
    <w:abstractNumId w:val="37"/>
  </w:num>
  <w:num w:numId="37">
    <w:abstractNumId w:val="68"/>
  </w:num>
  <w:num w:numId="38">
    <w:abstractNumId w:val="51"/>
  </w:num>
  <w:num w:numId="39">
    <w:abstractNumId w:val="23"/>
  </w:num>
  <w:num w:numId="40">
    <w:abstractNumId w:val="35"/>
  </w:num>
  <w:num w:numId="41">
    <w:abstractNumId w:val="56"/>
  </w:num>
  <w:num w:numId="42">
    <w:abstractNumId w:val="14"/>
  </w:num>
  <w:num w:numId="43">
    <w:abstractNumId w:val="50"/>
  </w:num>
  <w:num w:numId="44">
    <w:abstractNumId w:val="19"/>
  </w:num>
  <w:num w:numId="45">
    <w:abstractNumId w:val="61"/>
  </w:num>
  <w:num w:numId="46">
    <w:abstractNumId w:val="42"/>
  </w:num>
  <w:num w:numId="47">
    <w:abstractNumId w:val="12"/>
  </w:num>
  <w:num w:numId="48">
    <w:abstractNumId w:val="44"/>
  </w:num>
  <w:num w:numId="49">
    <w:abstractNumId w:val="34"/>
  </w:num>
  <w:num w:numId="50">
    <w:abstractNumId w:val="71"/>
  </w:num>
  <w:num w:numId="51">
    <w:abstractNumId w:val="24"/>
  </w:num>
  <w:num w:numId="52">
    <w:abstractNumId w:val="57"/>
  </w:num>
  <w:num w:numId="53">
    <w:abstractNumId w:val="62"/>
  </w:num>
  <w:num w:numId="54">
    <w:abstractNumId w:val="31"/>
  </w:num>
  <w:num w:numId="55">
    <w:abstractNumId w:val="36"/>
  </w:num>
  <w:num w:numId="56">
    <w:abstractNumId w:val="66"/>
  </w:num>
  <w:num w:numId="57">
    <w:abstractNumId w:val="53"/>
  </w:num>
  <w:num w:numId="58">
    <w:abstractNumId w:val="33"/>
  </w:num>
  <w:num w:numId="59">
    <w:abstractNumId w:val="32"/>
  </w:num>
  <w:num w:numId="60">
    <w:abstractNumId w:val="43"/>
  </w:num>
  <w:num w:numId="61">
    <w:abstractNumId w:val="10"/>
  </w:num>
  <w:num w:numId="62">
    <w:abstractNumId w:val="41"/>
  </w:num>
  <w:num w:numId="63">
    <w:abstractNumId w:val="3"/>
  </w:num>
  <w:num w:numId="64">
    <w:abstractNumId w:val="58"/>
  </w:num>
  <w:num w:numId="65">
    <w:abstractNumId w:val="63"/>
  </w:num>
  <w:num w:numId="66">
    <w:abstractNumId w:val="26"/>
  </w:num>
  <w:num w:numId="67">
    <w:abstractNumId w:val="4"/>
  </w:num>
  <w:num w:numId="68">
    <w:abstractNumId w:val="38"/>
  </w:num>
  <w:num w:numId="69">
    <w:abstractNumId w:val="21"/>
    <w:lvlOverride w:ilvl="0">
      <w:startOverride w:val="1"/>
    </w:lvlOverride>
  </w:num>
  <w:num w:numId="70">
    <w:abstractNumId w:val="25"/>
  </w:num>
  <w:num w:numId="71">
    <w:abstractNumId w:val="0"/>
  </w:num>
  <w:num w:numId="72">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310"/>
    <w:rsid w:val="00000B57"/>
    <w:rsid w:val="00001B21"/>
    <w:rsid w:val="000047B5"/>
    <w:rsid w:val="00006CBD"/>
    <w:rsid w:val="00015BB4"/>
    <w:rsid w:val="00024DCD"/>
    <w:rsid w:val="00030CF1"/>
    <w:rsid w:val="00033BC0"/>
    <w:rsid w:val="0005020B"/>
    <w:rsid w:val="00056020"/>
    <w:rsid w:val="00063B9E"/>
    <w:rsid w:val="00064CF3"/>
    <w:rsid w:val="00070D32"/>
    <w:rsid w:val="00076E18"/>
    <w:rsid w:val="00085F68"/>
    <w:rsid w:val="00094858"/>
    <w:rsid w:val="000974B5"/>
    <w:rsid w:val="000A0FE2"/>
    <w:rsid w:val="000A1C81"/>
    <w:rsid w:val="000A3FBB"/>
    <w:rsid w:val="000A4F79"/>
    <w:rsid w:val="000A5188"/>
    <w:rsid w:val="000B32B3"/>
    <w:rsid w:val="000B3D3F"/>
    <w:rsid w:val="000B76CC"/>
    <w:rsid w:val="000C1DBF"/>
    <w:rsid w:val="000C352D"/>
    <w:rsid w:val="000C3758"/>
    <w:rsid w:val="000C5CF1"/>
    <w:rsid w:val="000C5D0A"/>
    <w:rsid w:val="000C7AA1"/>
    <w:rsid w:val="000E4CD4"/>
    <w:rsid w:val="000E6DD6"/>
    <w:rsid w:val="000F6455"/>
    <w:rsid w:val="001134C3"/>
    <w:rsid w:val="0011454E"/>
    <w:rsid w:val="001147AE"/>
    <w:rsid w:val="001158A0"/>
    <w:rsid w:val="001253DD"/>
    <w:rsid w:val="00136910"/>
    <w:rsid w:val="00142D53"/>
    <w:rsid w:val="001441FB"/>
    <w:rsid w:val="00151F79"/>
    <w:rsid w:val="00153C8F"/>
    <w:rsid w:val="00155182"/>
    <w:rsid w:val="00157162"/>
    <w:rsid w:val="001600BE"/>
    <w:rsid w:val="00163E6F"/>
    <w:rsid w:val="0016499A"/>
    <w:rsid w:val="00166E03"/>
    <w:rsid w:val="00173646"/>
    <w:rsid w:val="00177C7F"/>
    <w:rsid w:val="0018255C"/>
    <w:rsid w:val="0018283C"/>
    <w:rsid w:val="00184B0D"/>
    <w:rsid w:val="00186C34"/>
    <w:rsid w:val="001A2740"/>
    <w:rsid w:val="001A297A"/>
    <w:rsid w:val="001A6F1D"/>
    <w:rsid w:val="001B1FFC"/>
    <w:rsid w:val="001C6037"/>
    <w:rsid w:val="001C7CA9"/>
    <w:rsid w:val="001D248A"/>
    <w:rsid w:val="001D704A"/>
    <w:rsid w:val="001E3776"/>
    <w:rsid w:val="001E47FB"/>
    <w:rsid w:val="001E591E"/>
    <w:rsid w:val="001F19D5"/>
    <w:rsid w:val="001F7DD5"/>
    <w:rsid w:val="002001B8"/>
    <w:rsid w:val="00211062"/>
    <w:rsid w:val="002171BD"/>
    <w:rsid w:val="002204B0"/>
    <w:rsid w:val="00246EC3"/>
    <w:rsid w:val="00253B02"/>
    <w:rsid w:val="0026046B"/>
    <w:rsid w:val="00267910"/>
    <w:rsid w:val="00267B27"/>
    <w:rsid w:val="002819CB"/>
    <w:rsid w:val="00281D6E"/>
    <w:rsid w:val="00285AD6"/>
    <w:rsid w:val="0029056C"/>
    <w:rsid w:val="002A0AD7"/>
    <w:rsid w:val="002A184F"/>
    <w:rsid w:val="002A544F"/>
    <w:rsid w:val="002B0681"/>
    <w:rsid w:val="002B393E"/>
    <w:rsid w:val="002C1D4C"/>
    <w:rsid w:val="002C5584"/>
    <w:rsid w:val="002C590A"/>
    <w:rsid w:val="002C7102"/>
    <w:rsid w:val="002D47C9"/>
    <w:rsid w:val="002E0EFE"/>
    <w:rsid w:val="002E392C"/>
    <w:rsid w:val="002F2E35"/>
    <w:rsid w:val="002F49BD"/>
    <w:rsid w:val="00301997"/>
    <w:rsid w:val="003070F5"/>
    <w:rsid w:val="00307154"/>
    <w:rsid w:val="00317EC9"/>
    <w:rsid w:val="00320B26"/>
    <w:rsid w:val="003237D3"/>
    <w:rsid w:val="0032704B"/>
    <w:rsid w:val="00330ABC"/>
    <w:rsid w:val="0033371B"/>
    <w:rsid w:val="00350286"/>
    <w:rsid w:val="003521C7"/>
    <w:rsid w:val="00360413"/>
    <w:rsid w:val="00370EA7"/>
    <w:rsid w:val="003934A4"/>
    <w:rsid w:val="003972AF"/>
    <w:rsid w:val="003A0966"/>
    <w:rsid w:val="003B1963"/>
    <w:rsid w:val="003B4F01"/>
    <w:rsid w:val="003C097C"/>
    <w:rsid w:val="003C7F45"/>
    <w:rsid w:val="003D2369"/>
    <w:rsid w:val="003D5F37"/>
    <w:rsid w:val="003E2CE8"/>
    <w:rsid w:val="003E718D"/>
    <w:rsid w:val="003F288C"/>
    <w:rsid w:val="003F70FC"/>
    <w:rsid w:val="00404392"/>
    <w:rsid w:val="0040464E"/>
    <w:rsid w:val="00405DC4"/>
    <w:rsid w:val="00411154"/>
    <w:rsid w:val="0041493E"/>
    <w:rsid w:val="00424C78"/>
    <w:rsid w:val="00442373"/>
    <w:rsid w:val="0045733E"/>
    <w:rsid w:val="00472C91"/>
    <w:rsid w:val="0047322C"/>
    <w:rsid w:val="00473BD8"/>
    <w:rsid w:val="00481EC2"/>
    <w:rsid w:val="00487D2B"/>
    <w:rsid w:val="0049630E"/>
    <w:rsid w:val="0049797D"/>
    <w:rsid w:val="004A5B05"/>
    <w:rsid w:val="004B48D7"/>
    <w:rsid w:val="004C4E7E"/>
    <w:rsid w:val="004E6231"/>
    <w:rsid w:val="005021CA"/>
    <w:rsid w:val="00506EA9"/>
    <w:rsid w:val="00523232"/>
    <w:rsid w:val="00526E4A"/>
    <w:rsid w:val="005309F8"/>
    <w:rsid w:val="00535676"/>
    <w:rsid w:val="0054386D"/>
    <w:rsid w:val="00546D49"/>
    <w:rsid w:val="00547B49"/>
    <w:rsid w:val="00547DC4"/>
    <w:rsid w:val="005516F8"/>
    <w:rsid w:val="005530D2"/>
    <w:rsid w:val="00553614"/>
    <w:rsid w:val="00554265"/>
    <w:rsid w:val="00554BB6"/>
    <w:rsid w:val="00555B85"/>
    <w:rsid w:val="005736CA"/>
    <w:rsid w:val="0058378E"/>
    <w:rsid w:val="00590204"/>
    <w:rsid w:val="005928AF"/>
    <w:rsid w:val="005B457C"/>
    <w:rsid w:val="005B6DF4"/>
    <w:rsid w:val="005C292C"/>
    <w:rsid w:val="005D7E9B"/>
    <w:rsid w:val="005E03FC"/>
    <w:rsid w:val="005E3A0F"/>
    <w:rsid w:val="005E56E0"/>
    <w:rsid w:val="005E66F6"/>
    <w:rsid w:val="005E7A61"/>
    <w:rsid w:val="005E7EE0"/>
    <w:rsid w:val="005F0497"/>
    <w:rsid w:val="005F7645"/>
    <w:rsid w:val="006043A8"/>
    <w:rsid w:val="00607ACA"/>
    <w:rsid w:val="00607BD9"/>
    <w:rsid w:val="00615A75"/>
    <w:rsid w:val="006171E4"/>
    <w:rsid w:val="00624478"/>
    <w:rsid w:val="006246A1"/>
    <w:rsid w:val="0063023F"/>
    <w:rsid w:val="00642BA5"/>
    <w:rsid w:val="00651557"/>
    <w:rsid w:val="006522D7"/>
    <w:rsid w:val="00655659"/>
    <w:rsid w:val="00656376"/>
    <w:rsid w:val="00664B1C"/>
    <w:rsid w:val="00683F5A"/>
    <w:rsid w:val="006924D2"/>
    <w:rsid w:val="006A1C32"/>
    <w:rsid w:val="006A3F97"/>
    <w:rsid w:val="006E16FE"/>
    <w:rsid w:val="006E181C"/>
    <w:rsid w:val="006E5169"/>
    <w:rsid w:val="006E7003"/>
    <w:rsid w:val="006F3820"/>
    <w:rsid w:val="006F4696"/>
    <w:rsid w:val="006F6DA5"/>
    <w:rsid w:val="00703FA4"/>
    <w:rsid w:val="00710B87"/>
    <w:rsid w:val="00714A78"/>
    <w:rsid w:val="007322A6"/>
    <w:rsid w:val="00743E7A"/>
    <w:rsid w:val="00744C1B"/>
    <w:rsid w:val="00744F3B"/>
    <w:rsid w:val="00753888"/>
    <w:rsid w:val="007564C2"/>
    <w:rsid w:val="00781B78"/>
    <w:rsid w:val="00782022"/>
    <w:rsid w:val="00791072"/>
    <w:rsid w:val="007A4390"/>
    <w:rsid w:val="007A4927"/>
    <w:rsid w:val="007A50B9"/>
    <w:rsid w:val="007B3501"/>
    <w:rsid w:val="007B7460"/>
    <w:rsid w:val="007C57D7"/>
    <w:rsid w:val="007D125A"/>
    <w:rsid w:val="007D7D96"/>
    <w:rsid w:val="007F4690"/>
    <w:rsid w:val="007F7472"/>
    <w:rsid w:val="00802048"/>
    <w:rsid w:val="008079C6"/>
    <w:rsid w:val="008105FE"/>
    <w:rsid w:val="008113ED"/>
    <w:rsid w:val="0081673C"/>
    <w:rsid w:val="00826B3B"/>
    <w:rsid w:val="008341D6"/>
    <w:rsid w:val="00843D12"/>
    <w:rsid w:val="00845133"/>
    <w:rsid w:val="008505A9"/>
    <w:rsid w:val="00853921"/>
    <w:rsid w:val="00864A20"/>
    <w:rsid w:val="00865F7C"/>
    <w:rsid w:val="00872E75"/>
    <w:rsid w:val="00895333"/>
    <w:rsid w:val="008A7C37"/>
    <w:rsid w:val="008C3BB6"/>
    <w:rsid w:val="008C6ED7"/>
    <w:rsid w:val="008D3914"/>
    <w:rsid w:val="008E3C73"/>
    <w:rsid w:val="008E4390"/>
    <w:rsid w:val="008F46A2"/>
    <w:rsid w:val="009077FF"/>
    <w:rsid w:val="00912D8A"/>
    <w:rsid w:val="009174D5"/>
    <w:rsid w:val="00927958"/>
    <w:rsid w:val="00931E18"/>
    <w:rsid w:val="00935B55"/>
    <w:rsid w:val="009430E5"/>
    <w:rsid w:val="00944125"/>
    <w:rsid w:val="0094457F"/>
    <w:rsid w:val="00952D82"/>
    <w:rsid w:val="00954301"/>
    <w:rsid w:val="00954653"/>
    <w:rsid w:val="009640E1"/>
    <w:rsid w:val="00965418"/>
    <w:rsid w:val="00971D77"/>
    <w:rsid w:val="00973142"/>
    <w:rsid w:val="0097394A"/>
    <w:rsid w:val="00975306"/>
    <w:rsid w:val="00976CF7"/>
    <w:rsid w:val="0098262F"/>
    <w:rsid w:val="00983CC7"/>
    <w:rsid w:val="00986526"/>
    <w:rsid w:val="00995531"/>
    <w:rsid w:val="009A5E2B"/>
    <w:rsid w:val="009B0FCB"/>
    <w:rsid w:val="009B28C6"/>
    <w:rsid w:val="009C2999"/>
    <w:rsid w:val="009C44C9"/>
    <w:rsid w:val="009D2BF2"/>
    <w:rsid w:val="009D43A4"/>
    <w:rsid w:val="009D4AFF"/>
    <w:rsid w:val="009D5004"/>
    <w:rsid w:val="009D6A87"/>
    <w:rsid w:val="009E4C51"/>
    <w:rsid w:val="009E7CFC"/>
    <w:rsid w:val="009F1B2D"/>
    <w:rsid w:val="00A047DF"/>
    <w:rsid w:val="00A05F47"/>
    <w:rsid w:val="00A160EB"/>
    <w:rsid w:val="00A1644D"/>
    <w:rsid w:val="00A24283"/>
    <w:rsid w:val="00A25CE4"/>
    <w:rsid w:val="00A31ACF"/>
    <w:rsid w:val="00A34618"/>
    <w:rsid w:val="00A414CB"/>
    <w:rsid w:val="00A47A48"/>
    <w:rsid w:val="00A55A4B"/>
    <w:rsid w:val="00A60DAF"/>
    <w:rsid w:val="00A70914"/>
    <w:rsid w:val="00A80C69"/>
    <w:rsid w:val="00A8315C"/>
    <w:rsid w:val="00A94220"/>
    <w:rsid w:val="00A95F67"/>
    <w:rsid w:val="00AA5F79"/>
    <w:rsid w:val="00AB0059"/>
    <w:rsid w:val="00AB09A1"/>
    <w:rsid w:val="00AB1097"/>
    <w:rsid w:val="00AC371A"/>
    <w:rsid w:val="00AD5FAA"/>
    <w:rsid w:val="00AE6309"/>
    <w:rsid w:val="00AF243F"/>
    <w:rsid w:val="00AF47E8"/>
    <w:rsid w:val="00B0457B"/>
    <w:rsid w:val="00B05B81"/>
    <w:rsid w:val="00B13E85"/>
    <w:rsid w:val="00B15092"/>
    <w:rsid w:val="00B16B5E"/>
    <w:rsid w:val="00B201B2"/>
    <w:rsid w:val="00B20ADB"/>
    <w:rsid w:val="00B20E38"/>
    <w:rsid w:val="00B24A08"/>
    <w:rsid w:val="00B26878"/>
    <w:rsid w:val="00B273A5"/>
    <w:rsid w:val="00B31432"/>
    <w:rsid w:val="00B324EE"/>
    <w:rsid w:val="00B37F20"/>
    <w:rsid w:val="00B41618"/>
    <w:rsid w:val="00B512F9"/>
    <w:rsid w:val="00B61BEF"/>
    <w:rsid w:val="00B650AE"/>
    <w:rsid w:val="00B80BFE"/>
    <w:rsid w:val="00B82E65"/>
    <w:rsid w:val="00B84733"/>
    <w:rsid w:val="00B85E2E"/>
    <w:rsid w:val="00B9061D"/>
    <w:rsid w:val="00B94CC8"/>
    <w:rsid w:val="00B9628D"/>
    <w:rsid w:val="00BA06D9"/>
    <w:rsid w:val="00BA30AA"/>
    <w:rsid w:val="00BA5DA3"/>
    <w:rsid w:val="00BB41FD"/>
    <w:rsid w:val="00BB62BC"/>
    <w:rsid w:val="00BD49CF"/>
    <w:rsid w:val="00BE5C3A"/>
    <w:rsid w:val="00BF4067"/>
    <w:rsid w:val="00C05A16"/>
    <w:rsid w:val="00C15CBB"/>
    <w:rsid w:val="00C22D26"/>
    <w:rsid w:val="00C26ADD"/>
    <w:rsid w:val="00C403FD"/>
    <w:rsid w:val="00C4081D"/>
    <w:rsid w:val="00C474B6"/>
    <w:rsid w:val="00C7015A"/>
    <w:rsid w:val="00C70DE3"/>
    <w:rsid w:val="00C731F6"/>
    <w:rsid w:val="00C7662F"/>
    <w:rsid w:val="00C772DA"/>
    <w:rsid w:val="00C812C1"/>
    <w:rsid w:val="00C8457F"/>
    <w:rsid w:val="00C85555"/>
    <w:rsid w:val="00CB1438"/>
    <w:rsid w:val="00CB59F7"/>
    <w:rsid w:val="00CC7BCD"/>
    <w:rsid w:val="00CD458F"/>
    <w:rsid w:val="00CD4624"/>
    <w:rsid w:val="00CE0B69"/>
    <w:rsid w:val="00CE1BB0"/>
    <w:rsid w:val="00CE2EA4"/>
    <w:rsid w:val="00CE4010"/>
    <w:rsid w:val="00CE4201"/>
    <w:rsid w:val="00CE42BF"/>
    <w:rsid w:val="00CF1F23"/>
    <w:rsid w:val="00CF63B0"/>
    <w:rsid w:val="00D003AB"/>
    <w:rsid w:val="00D03DAA"/>
    <w:rsid w:val="00D10872"/>
    <w:rsid w:val="00D17332"/>
    <w:rsid w:val="00D225BC"/>
    <w:rsid w:val="00D255C3"/>
    <w:rsid w:val="00D279D6"/>
    <w:rsid w:val="00D345F4"/>
    <w:rsid w:val="00D36824"/>
    <w:rsid w:val="00D52676"/>
    <w:rsid w:val="00D53F66"/>
    <w:rsid w:val="00D55C10"/>
    <w:rsid w:val="00D87F29"/>
    <w:rsid w:val="00DA05DF"/>
    <w:rsid w:val="00DA69A8"/>
    <w:rsid w:val="00DA78F0"/>
    <w:rsid w:val="00DB2342"/>
    <w:rsid w:val="00DB72E9"/>
    <w:rsid w:val="00DC6F40"/>
    <w:rsid w:val="00DD163C"/>
    <w:rsid w:val="00DD7D35"/>
    <w:rsid w:val="00DF04BA"/>
    <w:rsid w:val="00E077F9"/>
    <w:rsid w:val="00E10310"/>
    <w:rsid w:val="00E11BC0"/>
    <w:rsid w:val="00E1486B"/>
    <w:rsid w:val="00E168B2"/>
    <w:rsid w:val="00E22B0C"/>
    <w:rsid w:val="00E26FE5"/>
    <w:rsid w:val="00E30025"/>
    <w:rsid w:val="00E316E2"/>
    <w:rsid w:val="00E34CE4"/>
    <w:rsid w:val="00E46A79"/>
    <w:rsid w:val="00E60F37"/>
    <w:rsid w:val="00E72A18"/>
    <w:rsid w:val="00E75026"/>
    <w:rsid w:val="00E76041"/>
    <w:rsid w:val="00E81192"/>
    <w:rsid w:val="00E831CF"/>
    <w:rsid w:val="00E90EB1"/>
    <w:rsid w:val="00E94734"/>
    <w:rsid w:val="00E95A01"/>
    <w:rsid w:val="00EA1516"/>
    <w:rsid w:val="00EA7250"/>
    <w:rsid w:val="00EC2B45"/>
    <w:rsid w:val="00EC2F75"/>
    <w:rsid w:val="00ED5C43"/>
    <w:rsid w:val="00EF3BAF"/>
    <w:rsid w:val="00EF7CD5"/>
    <w:rsid w:val="00F11266"/>
    <w:rsid w:val="00F128B5"/>
    <w:rsid w:val="00F23575"/>
    <w:rsid w:val="00F30B25"/>
    <w:rsid w:val="00F329F4"/>
    <w:rsid w:val="00F32D64"/>
    <w:rsid w:val="00F3601C"/>
    <w:rsid w:val="00F40D9C"/>
    <w:rsid w:val="00F42187"/>
    <w:rsid w:val="00F425A1"/>
    <w:rsid w:val="00F42C5E"/>
    <w:rsid w:val="00F454D9"/>
    <w:rsid w:val="00F65C08"/>
    <w:rsid w:val="00F67181"/>
    <w:rsid w:val="00F67781"/>
    <w:rsid w:val="00F80D2C"/>
    <w:rsid w:val="00F866F3"/>
    <w:rsid w:val="00F86FA9"/>
    <w:rsid w:val="00F9102F"/>
    <w:rsid w:val="00FA0C80"/>
    <w:rsid w:val="00FB4009"/>
    <w:rsid w:val="00FC3663"/>
    <w:rsid w:val="00FC71E4"/>
    <w:rsid w:val="00FD0BD9"/>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6F002"/>
  <w15:docId w15:val="{C2A45C48-1E7A-4B9B-8DB2-2DBF06C6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 w:type="table" w:styleId="Tabela-Siatka">
    <w:name w:val="Table Grid"/>
    <w:basedOn w:val="Standardowy"/>
    <w:uiPriority w:val="59"/>
    <w:rsid w:val="001A2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tekst">
    <w:name w:val="Standardowy.tekst"/>
    <w:rsid w:val="003D5F37"/>
    <w:pPr>
      <w:overflowPunct w:val="0"/>
      <w:autoSpaceDE w:val="0"/>
      <w:autoSpaceDN w:val="0"/>
      <w:adjustRightInd w:val="0"/>
      <w:jc w:val="both"/>
      <w:textAlignment w:val="baseline"/>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2F762-0593-484C-B71A-707A117AD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2897</Words>
  <Characters>17384</Characters>
  <Application>Microsoft Office Word</Application>
  <DocSecurity>0</DocSecurity>
  <Lines>144</Lines>
  <Paragraphs>40</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    Ogólne wymagania dotyczące materiałów</vt:lpstr>
      <vt:lpstr>    Rodzaje materiałów</vt:lpstr>
      <vt:lpstr>    Wymagania dla materiałów</vt:lpstr>
    </vt:vector>
  </TitlesOfParts>
  <Company/>
  <LinksUpToDate>false</LinksUpToDate>
  <CharactersWithSpaces>20241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27</cp:revision>
  <cp:lastPrinted>2012-02-27T14:04:00Z</cp:lastPrinted>
  <dcterms:created xsi:type="dcterms:W3CDTF">2014-11-24T10:41:00Z</dcterms:created>
  <dcterms:modified xsi:type="dcterms:W3CDTF">2018-07-09T09:26:00Z</dcterms:modified>
</cp:coreProperties>
</file>