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BC79B6" w:rsidRDefault="00822B7E" w:rsidP="00BC79B6">
      <w:pPr>
        <w:spacing w:after="0"/>
        <w:jc w:val="center"/>
        <w:rPr>
          <w:rFonts w:cs="Calibri"/>
          <w:bCs/>
          <w:sz w:val="48"/>
          <w:szCs w:val="48"/>
        </w:rPr>
      </w:pPr>
      <w:r>
        <w:rPr>
          <w:rFonts w:cs="Calibri"/>
          <w:bCs/>
          <w:sz w:val="48"/>
          <w:szCs w:val="48"/>
        </w:rPr>
        <w:t>Dostawa i montaż wyposażenia</w:t>
      </w:r>
    </w:p>
    <w:p w:rsidR="0063023F" w:rsidRPr="003105B0" w:rsidRDefault="00EC0E16" w:rsidP="00BC79B6">
      <w:pPr>
        <w:spacing w:after="0"/>
        <w:jc w:val="center"/>
        <w:rPr>
          <w:rFonts w:cs="Calibri"/>
          <w:bCs/>
          <w:sz w:val="48"/>
          <w:szCs w:val="48"/>
        </w:rPr>
      </w:pPr>
      <w:r>
        <w:rPr>
          <w:rFonts w:cs="Calibri"/>
          <w:bCs/>
          <w:sz w:val="48"/>
          <w:szCs w:val="48"/>
        </w:rPr>
        <w:t>ST 01.1</w:t>
      </w:r>
      <w:r w:rsidR="0017621B">
        <w:rPr>
          <w:rFonts w:cs="Calibri"/>
          <w:bCs/>
          <w:sz w:val="48"/>
          <w:szCs w:val="48"/>
        </w:rPr>
        <w:t>3</w:t>
      </w:r>
    </w:p>
    <w:p w:rsidR="0063023F" w:rsidRPr="003105B0" w:rsidRDefault="0063023F" w:rsidP="00832D71">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832D71">
      <w:pPr>
        <w:pStyle w:val="Akapitzlist"/>
        <w:numPr>
          <w:ilvl w:val="1"/>
          <w:numId w:val="1"/>
        </w:numPr>
        <w:spacing w:after="0"/>
        <w:jc w:val="both"/>
        <w:rPr>
          <w:rFonts w:cs="Calibri"/>
          <w:b/>
          <w:bCs/>
        </w:rPr>
      </w:pPr>
      <w:r w:rsidRPr="003105B0">
        <w:rPr>
          <w:rFonts w:cs="Calibri"/>
          <w:b/>
          <w:bCs/>
        </w:rPr>
        <w:t>Przedmiot i zakres specyfikacji</w:t>
      </w:r>
    </w:p>
    <w:p w:rsidR="00EE2056" w:rsidRPr="00EE2056" w:rsidRDefault="00171E36" w:rsidP="00DA245E">
      <w:pPr>
        <w:spacing w:after="0"/>
        <w:jc w:val="both"/>
        <w:rPr>
          <w:rFonts w:cs="Calibri"/>
          <w:bCs/>
        </w:rPr>
      </w:pPr>
      <w:r w:rsidRPr="00171E36">
        <w:rPr>
          <w:rFonts w:cs="Calibri"/>
          <w:bCs/>
        </w:rPr>
        <w:t xml:space="preserve">Niniejszy tom specyfikacji obejmuje wymagania wykonania i odbioru </w:t>
      </w:r>
      <w:r w:rsidR="00736E18">
        <w:rPr>
          <w:rFonts w:cs="Calibri"/>
          <w:bCs/>
        </w:rPr>
        <w:t>dostawy i montażu elementów wyposażenia</w:t>
      </w:r>
      <w:r w:rsidRPr="00171E36">
        <w:rPr>
          <w:rFonts w:cs="Calibri"/>
          <w:bCs/>
        </w:rPr>
        <w:t xml:space="preserve"> dla inwestycji </w:t>
      </w:r>
      <w:r w:rsidR="00DA245E" w:rsidRPr="00DA245E">
        <w:rPr>
          <w:rFonts w:cs="Calibri"/>
          <w:bCs/>
        </w:rPr>
        <w:t>Rozbudowa i przebudowa wejścia C budynku Starostwa w Ożarowie Mazowieckim w ramach zadania inwestycyjnego "Budowa szybu windowego wraz z rozbudową wejścia C budynku Starostwa", ul. Poznańska 129/133, Ożarów Mazowiecki</w:t>
      </w:r>
      <w:r w:rsidR="00EE2056" w:rsidRPr="00EE2056">
        <w:rPr>
          <w:rFonts w:cs="Calibri"/>
          <w:bCs/>
        </w:rPr>
        <w:t xml:space="preserve">. </w:t>
      </w:r>
    </w:p>
    <w:p w:rsidR="00EE2056" w:rsidRPr="00EE2056" w:rsidRDefault="00EE2056" w:rsidP="00EE2056">
      <w:pPr>
        <w:pStyle w:val="Akapitzlist"/>
        <w:numPr>
          <w:ilvl w:val="1"/>
          <w:numId w:val="1"/>
        </w:numPr>
        <w:spacing w:after="0"/>
        <w:jc w:val="both"/>
        <w:rPr>
          <w:rFonts w:cs="Calibri"/>
          <w:b/>
          <w:bCs/>
        </w:rPr>
      </w:pPr>
      <w:r w:rsidRPr="00EE2056">
        <w:rPr>
          <w:rFonts w:cs="Calibri"/>
          <w:b/>
          <w:bCs/>
        </w:rPr>
        <w:t>Zakres stosowania ST.</w:t>
      </w:r>
    </w:p>
    <w:p w:rsidR="00EE2056" w:rsidRPr="00EE2056" w:rsidRDefault="00EE2056" w:rsidP="00EE2056">
      <w:pPr>
        <w:spacing w:after="0"/>
        <w:jc w:val="both"/>
        <w:rPr>
          <w:rFonts w:cs="Calibri"/>
          <w:bCs/>
        </w:rPr>
      </w:pPr>
      <w:r w:rsidRPr="00EE2056">
        <w:rPr>
          <w:rFonts w:cs="Calibri"/>
          <w:bCs/>
        </w:rPr>
        <w:t xml:space="preserve">Szczegółowa specyfikacja techniczna jest </w:t>
      </w:r>
      <w:proofErr w:type="gramStart"/>
      <w:r w:rsidRPr="00EE2056">
        <w:rPr>
          <w:rFonts w:cs="Calibri"/>
          <w:bCs/>
        </w:rPr>
        <w:t>stosowana  jako</w:t>
      </w:r>
      <w:proofErr w:type="gramEnd"/>
      <w:r w:rsidRPr="00EE2056">
        <w:rPr>
          <w:rFonts w:cs="Calibri"/>
          <w:bCs/>
        </w:rPr>
        <w:t xml:space="preserve"> dokument pod Zamówienie Publiczne przy zlecaniu i realizacji robót wymienionych w pkt. 1.1.</w:t>
      </w:r>
    </w:p>
    <w:p w:rsidR="00EE2056" w:rsidRPr="00EE2056" w:rsidRDefault="00EE2056" w:rsidP="00EE2056">
      <w:pPr>
        <w:pStyle w:val="Akapitzlist"/>
        <w:numPr>
          <w:ilvl w:val="1"/>
          <w:numId w:val="1"/>
        </w:numPr>
        <w:spacing w:after="0"/>
        <w:jc w:val="both"/>
        <w:rPr>
          <w:rFonts w:cs="Calibri"/>
          <w:b/>
          <w:bCs/>
        </w:rPr>
      </w:pPr>
      <w:r w:rsidRPr="00EE2056">
        <w:rPr>
          <w:rFonts w:cs="Calibri"/>
          <w:b/>
          <w:bCs/>
        </w:rPr>
        <w:t>Zakres Robót objętych ST.</w:t>
      </w:r>
    </w:p>
    <w:p w:rsidR="00EE2056" w:rsidRPr="00EE2056" w:rsidRDefault="00EE2056" w:rsidP="00EE2056">
      <w:pPr>
        <w:spacing w:after="0"/>
        <w:jc w:val="both"/>
        <w:rPr>
          <w:rFonts w:cs="Calibri"/>
          <w:bCs/>
        </w:rPr>
      </w:pPr>
      <w:r w:rsidRPr="00EE2056">
        <w:rPr>
          <w:rFonts w:cs="Calibri"/>
          <w:bCs/>
        </w:rPr>
        <w:t xml:space="preserve">Specyfikacja dotyczy wszystkich czynności umożliwiających i mających na celu wykonanie oraz montaż wyposażenia </w:t>
      </w:r>
      <w:r>
        <w:rPr>
          <w:rFonts w:cs="Calibri"/>
          <w:bCs/>
        </w:rPr>
        <w:t xml:space="preserve">stałego i </w:t>
      </w:r>
      <w:r w:rsidRPr="00EE2056">
        <w:rPr>
          <w:rFonts w:cs="Calibri"/>
          <w:bCs/>
        </w:rPr>
        <w:t>ruchomego</w:t>
      </w:r>
      <w:r>
        <w:rPr>
          <w:rFonts w:cs="Calibri"/>
          <w:bCs/>
        </w:rPr>
        <w:t xml:space="preserve"> zgodnie z </w:t>
      </w:r>
      <w:r w:rsidR="00D62795">
        <w:rPr>
          <w:rFonts w:cs="Calibri"/>
          <w:bCs/>
        </w:rPr>
        <w:t>projektem i przedmiarem</w:t>
      </w:r>
      <w:r>
        <w:rPr>
          <w:rFonts w:cs="Calibri"/>
          <w:bCs/>
        </w:rPr>
        <w:t>.</w:t>
      </w:r>
    </w:p>
    <w:p w:rsidR="00EE2056" w:rsidRPr="00EE2056" w:rsidRDefault="00EE2056" w:rsidP="00EE2056">
      <w:pPr>
        <w:pStyle w:val="Akapitzlist"/>
        <w:numPr>
          <w:ilvl w:val="1"/>
          <w:numId w:val="1"/>
        </w:numPr>
        <w:spacing w:after="0"/>
        <w:jc w:val="both"/>
        <w:rPr>
          <w:rFonts w:cs="Calibri"/>
          <w:b/>
          <w:bCs/>
        </w:rPr>
      </w:pPr>
      <w:r w:rsidRPr="00EE2056">
        <w:rPr>
          <w:rFonts w:cs="Calibri"/>
          <w:b/>
          <w:bCs/>
        </w:rPr>
        <w:t>Wyszczególnienie i opis prac towarzyszących i robót tymczasowych</w:t>
      </w:r>
    </w:p>
    <w:p w:rsidR="00EE2056" w:rsidRPr="00EE2056" w:rsidRDefault="00EE2056" w:rsidP="00EE2056">
      <w:pPr>
        <w:spacing w:after="0"/>
        <w:jc w:val="both"/>
        <w:rPr>
          <w:rFonts w:cs="Calibri"/>
          <w:bCs/>
        </w:rPr>
      </w:pPr>
      <w:r w:rsidRPr="00EE2056">
        <w:rPr>
          <w:rFonts w:cs="Calibri"/>
          <w:bCs/>
        </w:rPr>
        <w:t>Prace tymczasowe i towarzyszące:</w:t>
      </w:r>
    </w:p>
    <w:p w:rsidR="00EE2056" w:rsidRPr="00EE2056" w:rsidRDefault="00EE2056" w:rsidP="00EE2056">
      <w:pPr>
        <w:spacing w:after="0"/>
        <w:jc w:val="both"/>
        <w:rPr>
          <w:rFonts w:cs="Calibri"/>
          <w:bCs/>
        </w:rPr>
      </w:pPr>
      <w:r w:rsidRPr="00EE2056">
        <w:rPr>
          <w:rFonts w:cs="Calibri"/>
          <w:bCs/>
        </w:rPr>
        <w:t>- inwentaryzacja powykonawcza,</w:t>
      </w:r>
    </w:p>
    <w:p w:rsidR="00EE2056" w:rsidRPr="00EE2056" w:rsidRDefault="00EE2056" w:rsidP="00EE2056">
      <w:pPr>
        <w:spacing w:after="0"/>
        <w:jc w:val="both"/>
        <w:rPr>
          <w:rFonts w:cs="Calibri"/>
          <w:bCs/>
        </w:rPr>
      </w:pPr>
      <w:r w:rsidRPr="00EE2056">
        <w:rPr>
          <w:rFonts w:cs="Calibri"/>
          <w:bCs/>
        </w:rPr>
        <w:t>- obsługę sprzętu drobnego oraz tych jednostek sprzętu podstawowego, dla którego nie przewiduje się żadnej obsługi,</w:t>
      </w:r>
    </w:p>
    <w:p w:rsidR="00EE2056" w:rsidRPr="00EE2056" w:rsidRDefault="00EE2056" w:rsidP="00EE2056">
      <w:pPr>
        <w:spacing w:after="0"/>
        <w:jc w:val="both"/>
        <w:rPr>
          <w:rFonts w:cs="Calibri"/>
          <w:bCs/>
        </w:rPr>
      </w:pPr>
      <w:r w:rsidRPr="00EE2056">
        <w:rPr>
          <w:rFonts w:cs="Calibri"/>
          <w:bCs/>
        </w:rPr>
        <w:t>- załadunek i wyładunek narzędzi i pomocniczego sprzętu na środki transportowe - ręcznie</w:t>
      </w:r>
    </w:p>
    <w:p w:rsidR="00EE2056" w:rsidRPr="00EE2056" w:rsidRDefault="00EE2056" w:rsidP="00EE2056">
      <w:pPr>
        <w:spacing w:after="0"/>
        <w:jc w:val="both"/>
        <w:rPr>
          <w:rFonts w:cs="Calibri"/>
          <w:bCs/>
        </w:rPr>
      </w:pPr>
      <w:r w:rsidRPr="00EE2056">
        <w:rPr>
          <w:rFonts w:cs="Calibri"/>
          <w:bCs/>
        </w:rPr>
        <w:t>- utrzymanie urządzeń placu budowy,</w:t>
      </w:r>
    </w:p>
    <w:p w:rsidR="00EE2056" w:rsidRPr="00EE2056" w:rsidRDefault="00EE2056" w:rsidP="00EE2056">
      <w:pPr>
        <w:spacing w:after="0"/>
        <w:jc w:val="both"/>
        <w:rPr>
          <w:rFonts w:cs="Calibri"/>
          <w:bCs/>
        </w:rPr>
      </w:pPr>
      <w:r w:rsidRPr="00EE2056">
        <w:rPr>
          <w:rFonts w:cs="Calibri"/>
          <w:bCs/>
        </w:rPr>
        <w:t>- pomiary do rozliczenia robót,</w:t>
      </w:r>
    </w:p>
    <w:p w:rsidR="00EE2056" w:rsidRPr="00EE2056" w:rsidRDefault="00EE2056" w:rsidP="00EE2056">
      <w:pPr>
        <w:spacing w:after="0"/>
        <w:jc w:val="both"/>
        <w:rPr>
          <w:rFonts w:cs="Calibri"/>
          <w:bCs/>
        </w:rPr>
      </w:pPr>
      <w:r w:rsidRPr="00EE2056">
        <w:rPr>
          <w:rFonts w:cs="Calibri"/>
          <w:bCs/>
        </w:rPr>
        <w:t>- działanie ochronne zgodnie z warunkami bhp,</w:t>
      </w:r>
    </w:p>
    <w:p w:rsidR="00EE2056" w:rsidRPr="00EE2056" w:rsidRDefault="00EE2056" w:rsidP="00EE2056">
      <w:pPr>
        <w:spacing w:after="0"/>
        <w:jc w:val="both"/>
        <w:rPr>
          <w:rFonts w:cs="Calibri"/>
          <w:bCs/>
        </w:rPr>
      </w:pPr>
      <w:r w:rsidRPr="00EE2056">
        <w:rPr>
          <w:rFonts w:cs="Calibri"/>
          <w:bCs/>
        </w:rPr>
        <w:t>- utrzymanie drobnych narzędzi,</w:t>
      </w:r>
    </w:p>
    <w:p w:rsidR="00EE2056" w:rsidRPr="00EE2056" w:rsidRDefault="00EE2056" w:rsidP="00EE2056">
      <w:pPr>
        <w:spacing w:after="0"/>
        <w:jc w:val="both"/>
        <w:rPr>
          <w:rFonts w:cs="Calibri"/>
          <w:bCs/>
        </w:rPr>
      </w:pPr>
      <w:r w:rsidRPr="00EE2056">
        <w:rPr>
          <w:rFonts w:cs="Calibri"/>
          <w:bCs/>
        </w:rPr>
        <w:t>- usuwanie z obszaru budowy odpadów i zanieczyszczeń,</w:t>
      </w:r>
    </w:p>
    <w:p w:rsidR="00EE2056" w:rsidRPr="00EE2056" w:rsidRDefault="00EE2056" w:rsidP="00EE2056">
      <w:pPr>
        <w:spacing w:after="0"/>
        <w:jc w:val="both"/>
        <w:rPr>
          <w:rFonts w:cs="Calibri"/>
          <w:bCs/>
        </w:rPr>
      </w:pPr>
      <w:r w:rsidRPr="00EE2056">
        <w:rPr>
          <w:rFonts w:cs="Calibri"/>
          <w:bCs/>
        </w:rPr>
        <w:t>-opłata za wjazd samochodów ciężarowych do miasta, których obciążenie na oś przekracza obowiązujące przepisy).</w:t>
      </w:r>
    </w:p>
    <w:p w:rsidR="00EE2056" w:rsidRPr="00EE2056" w:rsidRDefault="00EE2056" w:rsidP="00EE2056">
      <w:pPr>
        <w:spacing w:after="0"/>
        <w:jc w:val="both"/>
        <w:rPr>
          <w:rFonts w:cs="Calibri"/>
          <w:bCs/>
        </w:rPr>
      </w:pPr>
      <w:r w:rsidRPr="00EE2056">
        <w:rPr>
          <w:rFonts w:cs="Calibri"/>
          <w:bCs/>
        </w:rPr>
        <w:t>- 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rsidR="00EE2056" w:rsidRPr="00EE2056" w:rsidRDefault="00EE2056" w:rsidP="00EE2056">
      <w:pPr>
        <w:pStyle w:val="Akapitzlist"/>
        <w:numPr>
          <w:ilvl w:val="1"/>
          <w:numId w:val="1"/>
        </w:numPr>
        <w:spacing w:after="0"/>
        <w:jc w:val="both"/>
        <w:rPr>
          <w:rFonts w:cs="Calibri"/>
          <w:b/>
          <w:bCs/>
        </w:rPr>
      </w:pPr>
      <w:r w:rsidRPr="00EE2056">
        <w:rPr>
          <w:rFonts w:cs="Calibri"/>
          <w:b/>
          <w:bCs/>
        </w:rPr>
        <w:t>Informacje o terenie budowy</w:t>
      </w:r>
    </w:p>
    <w:p w:rsidR="00EE2056" w:rsidRPr="00EE2056" w:rsidRDefault="00EE2056" w:rsidP="00EE2056">
      <w:pPr>
        <w:spacing w:after="0"/>
        <w:jc w:val="both"/>
        <w:rPr>
          <w:rFonts w:cs="Calibri"/>
          <w:b/>
          <w:bCs/>
        </w:rPr>
      </w:pPr>
      <w:r w:rsidRPr="00EE2056">
        <w:rPr>
          <w:rFonts w:cs="Calibri"/>
          <w:b/>
          <w:bCs/>
        </w:rPr>
        <w:t>Ogólne informacje dotycz</w:t>
      </w:r>
      <w:r w:rsidRPr="00EE2056">
        <w:rPr>
          <w:rFonts w:cs="Calibri"/>
          <w:bCs/>
        </w:rPr>
        <w:t>ą</w:t>
      </w:r>
      <w:r w:rsidRPr="00EE2056">
        <w:rPr>
          <w:rFonts w:cs="Calibri"/>
          <w:b/>
          <w:bCs/>
        </w:rPr>
        <w:t>ce terenu budowy podano w rozdziale „Wymagania ogólne”.</w:t>
      </w:r>
    </w:p>
    <w:p w:rsidR="00EE2056" w:rsidRPr="00EE2056" w:rsidRDefault="00EE2056" w:rsidP="00EE2056">
      <w:pPr>
        <w:spacing w:after="0"/>
        <w:jc w:val="both"/>
        <w:rPr>
          <w:rFonts w:cs="Calibri"/>
          <w:bCs/>
        </w:rPr>
      </w:pPr>
      <w:r w:rsidRPr="00EE2056">
        <w:rPr>
          <w:rFonts w:cs="Calibri"/>
          <w:bCs/>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w:t>
      </w:r>
      <w:r w:rsidR="00246485">
        <w:rPr>
          <w:rFonts w:cs="Calibri"/>
          <w:bCs/>
        </w:rPr>
        <w:t xml:space="preserve"> </w:t>
      </w:r>
      <w:r w:rsidRPr="00EE2056">
        <w:rPr>
          <w:rFonts w:cs="Calibri"/>
          <w:bCs/>
        </w:rPr>
        <w:t>hałasu, możliwością powstania pożaru. Opłaty i kary za przekroczenie w trakcie realizacji robót norm, określonych w odpowiednich przepisach dotyczących ochrony środowiska, obciążają Wykonawcę.</w:t>
      </w:r>
      <w:bookmarkStart w:id="0" w:name="_GoBack"/>
      <w:bookmarkEnd w:id="0"/>
      <w:r w:rsidRPr="00EE2056">
        <w:rPr>
          <w:rFonts w:cs="Calibri"/>
          <w:bCs/>
        </w:rPr>
        <w:t xml:space="preserve"> 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rsidR="00EE2056" w:rsidRPr="00EE2056" w:rsidRDefault="00EE2056" w:rsidP="00EE2056">
      <w:pPr>
        <w:spacing w:after="0"/>
        <w:jc w:val="both"/>
        <w:rPr>
          <w:rFonts w:cs="Calibri"/>
          <w:bCs/>
        </w:rPr>
      </w:pPr>
      <w:r w:rsidRPr="00EE2056">
        <w:rPr>
          <w:rFonts w:cs="Calibri"/>
          <w:bCs/>
        </w:rPr>
        <w:t xml:space="preserve">Wykonawca jest zobowiązany do ochrony przed uszkodzeniem lub zniszczeniem własności publicznej i prywatnej. Odpowiada za ochronę instalacji na powierzchni ziemi i za urządzenia podziemne. Wykonawca, o ile umowa nie stanowi inaczej, uzyska od odpowiednich władz będących właścicielem instalacji potwierdzenie o ich </w:t>
      </w:r>
      <w:proofErr w:type="gramStart"/>
      <w:r w:rsidRPr="00EE2056">
        <w:rPr>
          <w:rFonts w:cs="Calibri"/>
          <w:bCs/>
        </w:rPr>
        <w:t>lokalizacji,</w:t>
      </w:r>
      <w:proofErr w:type="gramEnd"/>
      <w:r w:rsidRPr="00EE2056">
        <w:rPr>
          <w:rFonts w:cs="Calibri"/>
          <w:bCs/>
        </w:rPr>
        <w:t xml:space="preserve"> oraz zapewni ich właściwe oznaczenie i zabezpieczenie przed uszkodzeniem w czasie trwania budowy. Możliwe</w:t>
      </w:r>
    </w:p>
    <w:p w:rsidR="00EE2056" w:rsidRDefault="00EE2056" w:rsidP="00EE2056">
      <w:pPr>
        <w:spacing w:after="0"/>
        <w:jc w:val="both"/>
        <w:rPr>
          <w:rFonts w:cs="Calibri"/>
          <w:bCs/>
        </w:rPr>
      </w:pPr>
      <w:r w:rsidRPr="00EE2056">
        <w:rPr>
          <w:rFonts w:cs="Calibri"/>
          <w:bCs/>
        </w:rPr>
        <w:lastRenderedPageBreak/>
        <w:t>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ponosi koszt tych napraw. Podczas realizacji robót Wykonawca będzie przestrzegał przepisów dotyczących bezpieczeństwa i higieny pracy.</w:t>
      </w:r>
    </w:p>
    <w:p w:rsidR="003D64AC" w:rsidRPr="003D64AC" w:rsidRDefault="003D64AC" w:rsidP="003D64AC">
      <w:pPr>
        <w:pStyle w:val="Akapitzlist"/>
        <w:numPr>
          <w:ilvl w:val="1"/>
          <w:numId w:val="1"/>
        </w:numPr>
        <w:spacing w:after="0"/>
        <w:jc w:val="both"/>
        <w:rPr>
          <w:rFonts w:cs="Calibri"/>
          <w:b/>
          <w:bCs/>
        </w:rPr>
      </w:pPr>
      <w:r w:rsidRPr="003D64AC">
        <w:rPr>
          <w:rFonts w:cs="Calibri"/>
          <w:b/>
          <w:bCs/>
        </w:rPr>
        <w:t>Definicje określeń podstawowych.</w:t>
      </w:r>
    </w:p>
    <w:p w:rsidR="00EE2056" w:rsidRPr="00EE2056" w:rsidRDefault="003D64AC" w:rsidP="003D64AC">
      <w:pPr>
        <w:spacing w:after="0"/>
        <w:jc w:val="both"/>
        <w:rPr>
          <w:rFonts w:cs="Calibri"/>
          <w:bCs/>
        </w:rPr>
      </w:pPr>
      <w:r w:rsidRPr="003D64AC">
        <w:rPr>
          <w:rFonts w:cs="Calibri"/>
          <w:bCs/>
        </w:rPr>
        <w:t>Określenia podstawowe w niniejszej ST są zgodne z obowiązującymi odpowiednimi normami oraz określeniami podanymi w specyfikacji ST. 00.01. „Wymagania ogólne”.</w:t>
      </w:r>
    </w:p>
    <w:p w:rsidR="00EE2056" w:rsidRDefault="00EE2056" w:rsidP="0063023F">
      <w:pPr>
        <w:spacing w:after="0"/>
        <w:jc w:val="both"/>
        <w:rPr>
          <w:rFonts w:cs="Calibri"/>
          <w:bCs/>
        </w:rPr>
      </w:pPr>
    </w:p>
    <w:p w:rsidR="00E65698" w:rsidRPr="00E65698" w:rsidRDefault="00E65698" w:rsidP="00CF74CA">
      <w:pPr>
        <w:pStyle w:val="Akapitzlist"/>
        <w:numPr>
          <w:ilvl w:val="0"/>
          <w:numId w:val="1"/>
        </w:numPr>
        <w:spacing w:after="0"/>
        <w:jc w:val="both"/>
        <w:rPr>
          <w:rFonts w:cs="Calibri"/>
          <w:b/>
          <w:bCs/>
        </w:rPr>
      </w:pPr>
      <w:r w:rsidRPr="00E65698">
        <w:rPr>
          <w:rFonts w:cs="Calibri"/>
          <w:b/>
          <w:bCs/>
        </w:rPr>
        <w:t xml:space="preserve">WYMAGANIA DOTYCZĄCE MATERIAŁÓW </w:t>
      </w:r>
    </w:p>
    <w:p w:rsidR="00E65698" w:rsidRPr="00E65698" w:rsidRDefault="00E65698" w:rsidP="00E65698">
      <w:pPr>
        <w:spacing w:after="0"/>
        <w:jc w:val="both"/>
        <w:rPr>
          <w:rFonts w:cs="Calibri"/>
          <w:bCs/>
        </w:rPr>
      </w:pPr>
      <w:r w:rsidRPr="00E65698">
        <w:rPr>
          <w:rFonts w:cs="Calibri"/>
          <w:bCs/>
        </w:rPr>
        <w:t>Wymagania ogólne dotyczące materiałów podano w „Wymagania ogólne”.</w:t>
      </w:r>
    </w:p>
    <w:p w:rsidR="00E65698" w:rsidRPr="00E65698" w:rsidRDefault="00E65698" w:rsidP="00CF74CA">
      <w:pPr>
        <w:pStyle w:val="Akapitzlist"/>
        <w:numPr>
          <w:ilvl w:val="1"/>
          <w:numId w:val="1"/>
        </w:numPr>
        <w:spacing w:after="0"/>
        <w:jc w:val="both"/>
        <w:rPr>
          <w:rFonts w:cs="Calibri"/>
          <w:b/>
          <w:bCs/>
        </w:rPr>
      </w:pPr>
      <w:r w:rsidRPr="00E65698">
        <w:rPr>
          <w:rFonts w:cs="Calibri"/>
          <w:b/>
          <w:bCs/>
        </w:rPr>
        <w:t>Wymagania ogólne dotyczące materiałów</w:t>
      </w:r>
    </w:p>
    <w:p w:rsidR="00E65698" w:rsidRPr="00E65698" w:rsidRDefault="00E65698" w:rsidP="00E65698">
      <w:pPr>
        <w:spacing w:after="0"/>
        <w:jc w:val="both"/>
        <w:rPr>
          <w:rFonts w:cs="Calibri"/>
          <w:bCs/>
        </w:rPr>
      </w:pPr>
      <w:r w:rsidRPr="00E65698">
        <w:rPr>
          <w:rFonts w:cs="Calibri"/>
          <w:bCs/>
        </w:rPr>
        <w:t xml:space="preserve">Zastosowane materiały powinny spełniać ogólne wymagania podanie </w:t>
      </w:r>
      <w:proofErr w:type="gramStart"/>
      <w:r w:rsidRPr="00E65698">
        <w:rPr>
          <w:rFonts w:cs="Calibri"/>
          <w:bCs/>
        </w:rPr>
        <w:t>poniżej :</w:t>
      </w:r>
      <w:proofErr w:type="gramEnd"/>
    </w:p>
    <w:p w:rsidR="00E65698" w:rsidRPr="00E65698" w:rsidRDefault="00E65698" w:rsidP="00E65698">
      <w:pPr>
        <w:spacing w:after="0"/>
        <w:jc w:val="both"/>
        <w:rPr>
          <w:rFonts w:cs="Calibri"/>
          <w:bCs/>
        </w:rPr>
      </w:pPr>
      <w:r w:rsidRPr="00E65698">
        <w:rPr>
          <w:rFonts w:cs="Calibri"/>
          <w:bCs/>
        </w:rPr>
        <w:t xml:space="preserve">· Proponowane technologie powinny być odpowiednie do stanu projektowanego, zastosowanych technologii prac, a dobór materiałów powinien być wykonany według kryterium kompatybilności. Stosowane materiały muszą posiadać udokumentowane parametry nie gorsze od wyspecyfikowanych. Wszystkie materiały, elementy, rozwiązania, systemy muszą być stosowane, wykonywane, montowane ściśle według </w:t>
      </w:r>
      <w:r w:rsidRPr="00E65698">
        <w:rPr>
          <w:rFonts w:cs="Calibri"/>
          <w:b/>
          <w:bCs/>
        </w:rPr>
        <w:t xml:space="preserve">udokumentowanych </w:t>
      </w:r>
      <w:r w:rsidRPr="00E65698">
        <w:rPr>
          <w:rFonts w:cs="Calibri"/>
          <w:bCs/>
        </w:rPr>
        <w:t xml:space="preserve">wytycznych producenta, w sposób i w warunkach określonych w posiadanych przez element dokumentach odniesienia jak aktualne aprobaty techniczne (krajowe lub europejskie), certyfikat lub deklarację zgodności, atesty – wymagane przez polskie prawo. Oferent jest zobowiązany do wykazania, że dany materiał, system, zestaw, etc. wprowadzony legalnie na polski rynek, spełnia, określone polskim prawem, warunki techniczne dla projektowanego obiektu. Ilekroć Specyfikacja Istotnych Warunków Zamówienia wskazuje znak towarowy materiału, patent lub pochodzenie, Wykonawca może zastosować wskazany </w:t>
      </w:r>
      <w:r w:rsidRPr="00E65698">
        <w:rPr>
          <w:rFonts w:cs="Calibri"/>
          <w:b/>
          <w:bCs/>
        </w:rPr>
        <w:t>lub równoważny</w:t>
      </w:r>
      <w:r w:rsidRPr="00E65698">
        <w:rPr>
          <w:rFonts w:cs="Calibri"/>
          <w:bCs/>
        </w:rPr>
        <w:t>, inny materiał spełniający wymogi techniczne wskazanego oraz posiadający właściwości użytkowe zgodne z wymogami określonymi w Polskich Normach przenoszących normy europejskie lub normach innych państw członkowskich Europejskiego Obszaru Gospodarczego przenoszących te normy.</w:t>
      </w:r>
    </w:p>
    <w:p w:rsidR="00E65698" w:rsidRPr="00E65698" w:rsidRDefault="00E65698" w:rsidP="00E65698">
      <w:pPr>
        <w:spacing w:after="0"/>
        <w:jc w:val="both"/>
        <w:rPr>
          <w:rFonts w:cs="Calibri"/>
          <w:b/>
          <w:bCs/>
        </w:rPr>
      </w:pPr>
      <w:r w:rsidRPr="00E65698">
        <w:rPr>
          <w:rFonts w:cs="Calibri"/>
          <w:b/>
          <w:bCs/>
        </w:rPr>
        <w:t>Wskazanie nazw własnych nie jest wskazaniem producenta ani miejsca pochodzenia a jest określeniem standardu jakości na etapie projektowania.</w:t>
      </w:r>
    </w:p>
    <w:p w:rsidR="00E65698" w:rsidRPr="00E65698" w:rsidRDefault="00E65698" w:rsidP="00CF74CA">
      <w:pPr>
        <w:pStyle w:val="Akapitzlist"/>
        <w:numPr>
          <w:ilvl w:val="1"/>
          <w:numId w:val="1"/>
        </w:numPr>
        <w:spacing w:after="0"/>
        <w:jc w:val="both"/>
        <w:rPr>
          <w:rFonts w:cs="Calibri"/>
          <w:b/>
          <w:bCs/>
        </w:rPr>
      </w:pPr>
      <w:r w:rsidRPr="00E65698">
        <w:rPr>
          <w:rFonts w:cs="Calibri"/>
          <w:b/>
          <w:bCs/>
        </w:rPr>
        <w:t>Elementy wyposażenia</w:t>
      </w:r>
    </w:p>
    <w:p w:rsidR="008F6EBA" w:rsidRDefault="00DA245E" w:rsidP="008F6EBA">
      <w:pPr>
        <w:spacing w:after="0"/>
        <w:jc w:val="both"/>
        <w:rPr>
          <w:rFonts w:cs="Calibri"/>
          <w:bCs/>
        </w:rPr>
      </w:pPr>
      <w:r>
        <w:rPr>
          <w:rFonts w:cs="Calibri"/>
          <w:bCs/>
        </w:rPr>
        <w:t>- uchwyty w sanitariatach dla niepełnosprawnych,</w:t>
      </w:r>
    </w:p>
    <w:p w:rsidR="00DA245E" w:rsidRDefault="00DA245E" w:rsidP="008F6EBA">
      <w:pPr>
        <w:spacing w:after="0"/>
        <w:jc w:val="both"/>
        <w:rPr>
          <w:rFonts w:cs="Calibri"/>
          <w:bCs/>
        </w:rPr>
      </w:pPr>
      <w:r>
        <w:rPr>
          <w:rFonts w:cs="Calibri"/>
          <w:bCs/>
        </w:rPr>
        <w:t>- roleta wewnętrzna o odporności EI30,</w:t>
      </w:r>
    </w:p>
    <w:p w:rsidR="00DA245E" w:rsidRDefault="00DA245E" w:rsidP="008F6EBA">
      <w:pPr>
        <w:spacing w:after="0"/>
        <w:jc w:val="both"/>
        <w:rPr>
          <w:rFonts w:cs="Calibri"/>
          <w:bCs/>
        </w:rPr>
      </w:pPr>
      <w:r>
        <w:rPr>
          <w:rFonts w:cs="Calibri"/>
          <w:bCs/>
        </w:rPr>
        <w:t>- rolety okienne,</w:t>
      </w:r>
    </w:p>
    <w:p w:rsidR="00DA245E" w:rsidRDefault="00DA245E" w:rsidP="008F6EBA">
      <w:pPr>
        <w:spacing w:after="0"/>
        <w:jc w:val="both"/>
        <w:rPr>
          <w:rFonts w:cs="Calibri"/>
          <w:bCs/>
        </w:rPr>
      </w:pPr>
      <w:r>
        <w:rPr>
          <w:rFonts w:cs="Calibri"/>
          <w:bCs/>
        </w:rPr>
        <w:t>- winda osobowa z kabiną przelotową.</w:t>
      </w:r>
    </w:p>
    <w:p w:rsidR="00DA245E" w:rsidRPr="008F6EBA" w:rsidRDefault="00DA245E" w:rsidP="008F6EBA">
      <w:pPr>
        <w:spacing w:after="0"/>
        <w:jc w:val="both"/>
        <w:rPr>
          <w:rFonts w:cs="Calibri"/>
          <w:bCs/>
        </w:rPr>
      </w:pPr>
      <w:r>
        <w:rPr>
          <w:rFonts w:cs="Calibri"/>
          <w:bCs/>
        </w:rPr>
        <w:t>Wymagania odnośnie materiałów zgodnie z dokumentacją projektową.</w:t>
      </w:r>
    </w:p>
    <w:p w:rsidR="008F6EBA" w:rsidRPr="008F6EBA" w:rsidRDefault="008F6EBA" w:rsidP="008F6EBA">
      <w:pPr>
        <w:spacing w:after="0"/>
        <w:jc w:val="both"/>
        <w:rPr>
          <w:rFonts w:cs="Calibri"/>
          <w:bCs/>
        </w:rPr>
      </w:pPr>
    </w:p>
    <w:p w:rsidR="00CF74CA" w:rsidRPr="00CF74CA" w:rsidRDefault="00CF74CA" w:rsidP="00CF74CA">
      <w:pPr>
        <w:pStyle w:val="Akapitzlist"/>
        <w:numPr>
          <w:ilvl w:val="1"/>
          <w:numId w:val="1"/>
        </w:numPr>
        <w:spacing w:after="0"/>
        <w:jc w:val="both"/>
        <w:rPr>
          <w:rFonts w:cs="Calibri"/>
          <w:b/>
          <w:bCs/>
        </w:rPr>
      </w:pPr>
      <w:r w:rsidRPr="00CF74CA">
        <w:rPr>
          <w:rFonts w:cs="Calibri"/>
          <w:b/>
          <w:bCs/>
        </w:rPr>
        <w:t>Warunki przyjęcia na budowę materiałów</w:t>
      </w:r>
    </w:p>
    <w:p w:rsidR="00CF74CA" w:rsidRPr="00CF74CA" w:rsidRDefault="00CF74CA" w:rsidP="00CF74CA">
      <w:pPr>
        <w:spacing w:after="0"/>
        <w:jc w:val="both"/>
        <w:rPr>
          <w:rFonts w:cs="Calibri"/>
          <w:bCs/>
        </w:rPr>
      </w:pPr>
      <w:r w:rsidRPr="00CF74CA">
        <w:rPr>
          <w:rFonts w:cs="Calibri"/>
          <w:bCs/>
        </w:rPr>
        <w:t>Materiały i wyroby mogą być przyjęte na budowę, jeśli spełniają następujące warunki:</w:t>
      </w:r>
    </w:p>
    <w:p w:rsidR="00CF74CA" w:rsidRPr="00CF74CA" w:rsidRDefault="00CF74CA" w:rsidP="00CF74CA">
      <w:pPr>
        <w:spacing w:after="0"/>
        <w:jc w:val="both"/>
        <w:rPr>
          <w:rFonts w:cs="Calibri"/>
          <w:bCs/>
        </w:rPr>
      </w:pPr>
      <w:r w:rsidRPr="00CF74CA">
        <w:rPr>
          <w:rFonts w:cs="Calibri"/>
          <w:bCs/>
        </w:rPr>
        <w:t>– są zgodne z ich wyszczególnieniem i charakterystyką podaną w dokumentacji projektowej i specyfikacji technicznej,</w:t>
      </w:r>
    </w:p>
    <w:p w:rsidR="00CF74CA" w:rsidRPr="00CF74CA" w:rsidRDefault="00CF74CA" w:rsidP="00CF74CA">
      <w:pPr>
        <w:spacing w:after="0"/>
        <w:jc w:val="both"/>
        <w:rPr>
          <w:rFonts w:cs="Calibri"/>
          <w:bCs/>
        </w:rPr>
      </w:pPr>
      <w:r w:rsidRPr="00CF74CA">
        <w:rPr>
          <w:rFonts w:cs="Calibri"/>
          <w:bCs/>
        </w:rPr>
        <w:t>– są właściwie opakowane, firmowo zamknięte (bez oznak naruszenia zamknięć) i oznakowane (pełna nazwa wyrobu, ewentualnie nazwa handlowa oraz symbol handlowy wyrobu),</w:t>
      </w:r>
    </w:p>
    <w:p w:rsidR="00CF74CA" w:rsidRPr="00CF74CA" w:rsidRDefault="00CF74CA" w:rsidP="00CF74CA">
      <w:pPr>
        <w:spacing w:after="0"/>
        <w:jc w:val="both"/>
        <w:rPr>
          <w:rFonts w:cs="Calibri"/>
          <w:bCs/>
        </w:rPr>
      </w:pPr>
      <w:r w:rsidRPr="00CF74CA">
        <w:rPr>
          <w:rFonts w:cs="Calibri"/>
          <w:bCs/>
        </w:rPr>
        <w:t>– spełniają wymagane właściwości wskazane odpowiednimi dokumentami odniesienia,</w:t>
      </w:r>
    </w:p>
    <w:p w:rsidR="00CF74CA" w:rsidRPr="00CF74CA" w:rsidRDefault="00CF74CA" w:rsidP="00CF74CA">
      <w:pPr>
        <w:spacing w:after="0"/>
        <w:jc w:val="both"/>
        <w:rPr>
          <w:rFonts w:cs="Calibri"/>
          <w:bCs/>
        </w:rPr>
      </w:pPr>
      <w:r w:rsidRPr="00CF74CA">
        <w:rPr>
          <w:rFonts w:cs="Calibri"/>
          <w:bCs/>
        </w:rPr>
        <w:lastRenderedPageBreak/>
        <w:t>– producent dostarczył dokumenty świadczące o dopuszczeniu do obrotu i powszechnego lub jednostkowego zastosowania wyrobów oraz karty techniczne (katalogowe) wyrobów lub firmowe wytyczne (zalecenia) stosowania wyrobów,</w:t>
      </w:r>
    </w:p>
    <w:p w:rsidR="00CF74CA" w:rsidRPr="00CF74CA" w:rsidRDefault="00CF74CA" w:rsidP="00CF74CA">
      <w:pPr>
        <w:spacing w:after="0"/>
        <w:jc w:val="both"/>
        <w:rPr>
          <w:rFonts w:cs="Calibri"/>
          <w:bCs/>
        </w:rPr>
      </w:pPr>
      <w:r w:rsidRPr="00CF74CA">
        <w:rPr>
          <w:rFonts w:cs="Calibri"/>
          <w:bCs/>
        </w:rPr>
        <w:t>– spełniają wymagania wynikające z ich terminu przydatności do użycia (termin zakończenia robot pokrywczych powinien się kończyć przed zakończeniem podanych na opakowaniach terminów przydatności do stosowania odpowiednich wyrobów),</w:t>
      </w:r>
    </w:p>
    <w:p w:rsidR="00CF74CA" w:rsidRPr="00CF74CA" w:rsidRDefault="00CF74CA" w:rsidP="00CF74CA">
      <w:pPr>
        <w:spacing w:after="0"/>
        <w:jc w:val="both"/>
        <w:rPr>
          <w:rFonts w:cs="Calibri"/>
          <w:bCs/>
        </w:rPr>
      </w:pPr>
      <w:r w:rsidRPr="00CF74CA">
        <w:rPr>
          <w:rFonts w:cs="Calibri"/>
          <w:bCs/>
        </w:rPr>
        <w:t xml:space="preserve">Wszystkie urządzenia i meble ze stali nierdzewnej powinny posiadać świadectwa </w:t>
      </w:r>
      <w:proofErr w:type="gramStart"/>
      <w:r w:rsidRPr="00CF74CA">
        <w:rPr>
          <w:rFonts w:cs="Calibri"/>
          <w:bCs/>
        </w:rPr>
        <w:t>jakości  PZH</w:t>
      </w:r>
      <w:proofErr w:type="gramEnd"/>
      <w:r w:rsidRPr="00CF74CA">
        <w:rPr>
          <w:rFonts w:cs="Calibri"/>
          <w:bCs/>
        </w:rPr>
        <w:t xml:space="preserve"> i certyfikaty CE .</w:t>
      </w:r>
    </w:p>
    <w:p w:rsidR="00CF74CA" w:rsidRPr="00CF74CA" w:rsidRDefault="00CF74CA" w:rsidP="00CF74CA">
      <w:pPr>
        <w:pStyle w:val="Akapitzlist"/>
        <w:numPr>
          <w:ilvl w:val="1"/>
          <w:numId w:val="1"/>
        </w:numPr>
        <w:spacing w:after="0"/>
        <w:jc w:val="both"/>
        <w:rPr>
          <w:rFonts w:cs="Calibri"/>
          <w:b/>
          <w:bCs/>
        </w:rPr>
      </w:pPr>
      <w:r w:rsidRPr="00CF74CA">
        <w:rPr>
          <w:rFonts w:cs="Calibri"/>
          <w:b/>
          <w:bCs/>
        </w:rPr>
        <w:t>Warunki przechowywania materiałów i wyrobów</w:t>
      </w:r>
    </w:p>
    <w:p w:rsidR="00CF74CA" w:rsidRDefault="00CF74CA" w:rsidP="00CF74CA">
      <w:pPr>
        <w:spacing w:after="0"/>
        <w:jc w:val="both"/>
        <w:rPr>
          <w:rFonts w:cs="Calibri"/>
          <w:bCs/>
        </w:rPr>
      </w:pPr>
      <w:r w:rsidRPr="00CF74CA">
        <w:rPr>
          <w:rFonts w:cs="Calibri"/>
          <w:bCs/>
        </w:rPr>
        <w:t>Materiały powinny być przechowywane i magazynowane zgodnie z instrukcją producenta oraz wymaganiami odpowiednich dokumentów odniesienia tj. norm bądź aprobat technicznych. Pomieszczenie magazynowe do przechowywania materiałów i wyrobów opakowanych powinno być kryte, suche oraz zabezpieczone przed zawilgoceniem, opadami atmosferycznymi, przemarznięciem i przed działaniem promieni słonecznych.</w:t>
      </w:r>
    </w:p>
    <w:p w:rsidR="00CF74CA" w:rsidRPr="00CF74CA" w:rsidRDefault="00CF74CA" w:rsidP="00CF74CA">
      <w:pPr>
        <w:spacing w:after="0"/>
        <w:jc w:val="both"/>
        <w:rPr>
          <w:rFonts w:cs="Calibri"/>
          <w:bCs/>
        </w:rPr>
      </w:pPr>
    </w:p>
    <w:p w:rsidR="00CF74CA" w:rsidRPr="00CF74CA" w:rsidRDefault="00CF74CA" w:rsidP="00CF74CA">
      <w:pPr>
        <w:pStyle w:val="Akapitzlist"/>
        <w:numPr>
          <w:ilvl w:val="0"/>
          <w:numId w:val="1"/>
        </w:numPr>
        <w:spacing w:after="0"/>
        <w:jc w:val="both"/>
        <w:rPr>
          <w:rFonts w:cs="Calibri"/>
          <w:b/>
          <w:bCs/>
        </w:rPr>
      </w:pPr>
      <w:r w:rsidRPr="00CF74CA">
        <w:rPr>
          <w:rFonts w:cs="Calibri"/>
          <w:b/>
          <w:bCs/>
        </w:rPr>
        <w:t>WYMAGANIA DOTYCZĄCE SPRZĘTU I MASZYN</w:t>
      </w:r>
    </w:p>
    <w:p w:rsidR="00CF74CA" w:rsidRPr="00CF74CA" w:rsidRDefault="00CF74CA" w:rsidP="00CF74CA">
      <w:pPr>
        <w:spacing w:after="0"/>
        <w:jc w:val="both"/>
        <w:rPr>
          <w:rFonts w:cs="Calibri"/>
          <w:bCs/>
        </w:rPr>
      </w:pPr>
      <w:r w:rsidRPr="00CF74CA">
        <w:rPr>
          <w:rFonts w:cs="Calibri"/>
          <w:bCs/>
        </w:rPr>
        <w:t>Wymagania ogólne dotyczące sprzętu podano w dziale „Wymagania ogólne”.</w:t>
      </w:r>
    </w:p>
    <w:p w:rsidR="00CF74CA" w:rsidRDefault="00CF74CA" w:rsidP="00CF74CA">
      <w:pPr>
        <w:spacing w:after="0"/>
        <w:jc w:val="both"/>
        <w:rPr>
          <w:rFonts w:cs="Calibri"/>
          <w:bCs/>
        </w:rPr>
      </w:pPr>
      <w:r w:rsidRPr="00CF74CA">
        <w:rPr>
          <w:rFonts w:cs="Calibri"/>
          <w:bCs/>
        </w:rPr>
        <w:t>Wykonawca zobowiązany jest do użycia takiego sprzętu. który nie spowoduje niekorzystnego wpływu na jakość wykonywanych robót i środowisko. Liczba i wydajność sprzętu będzie gwarantować prowadzenie robót zgodnie z zasadami określonymi w dokumentacji projektowej i w warunkach umowy. Sprzęt będący własnością wykonawcy lub wynajęty do wykonywania robót ma być utrzymany w dobrym stanie technicznym i gotowości do pracy oraz, jeśli to konieczne, będzie posiadał aktualne badania techniczne do wglądu na budowie. Będzie on zgodny z normami ochrony środowiska, przepisami dotyczącymi jego użytkowania oraz przepisami BHP.</w:t>
      </w:r>
    </w:p>
    <w:p w:rsidR="008F6EBA" w:rsidRDefault="008F6EBA" w:rsidP="00CF74CA">
      <w:pPr>
        <w:spacing w:after="0"/>
        <w:jc w:val="both"/>
        <w:rPr>
          <w:rFonts w:cs="Calibri"/>
          <w:bCs/>
        </w:rPr>
      </w:pPr>
      <w:r>
        <w:rPr>
          <w:rFonts w:cs="Arial"/>
        </w:rPr>
        <w:t>Dostawca</w:t>
      </w:r>
      <w:r w:rsidRPr="00D94D08">
        <w:rPr>
          <w:rFonts w:cs="Arial"/>
        </w:rPr>
        <w:t xml:space="preserve"> ruchomego dna</w:t>
      </w:r>
      <w:r>
        <w:rPr>
          <w:rFonts w:cs="Arial"/>
        </w:rPr>
        <w:t xml:space="preserve"> i przegrody na zawiasach</w:t>
      </w:r>
      <w:r w:rsidRPr="00D94D08">
        <w:rPr>
          <w:rFonts w:cs="Arial"/>
        </w:rPr>
        <w:t xml:space="preserve"> przystępując do robót powinien dysponować co najmniej sprzętem podstawowym jak wiertarki, klucze itp. oraz </w:t>
      </w:r>
      <w:r>
        <w:rPr>
          <w:rFonts w:cs="Arial"/>
        </w:rPr>
        <w:t xml:space="preserve">w razie potrzeby </w:t>
      </w:r>
      <w:proofErr w:type="spellStart"/>
      <w:r w:rsidRPr="00D94D08">
        <w:rPr>
          <w:rFonts w:cs="Arial"/>
        </w:rPr>
        <w:t>demontowalnym</w:t>
      </w:r>
      <w:proofErr w:type="spellEnd"/>
      <w:r w:rsidRPr="00D94D08">
        <w:rPr>
          <w:rFonts w:cs="Arial"/>
        </w:rPr>
        <w:t xml:space="preserve"> dźwigiem </w:t>
      </w:r>
      <w:r>
        <w:rPr>
          <w:rFonts w:cs="Arial"/>
        </w:rPr>
        <w:t>poruszającym się po obrzeżach niecki basenowej</w:t>
      </w:r>
      <w:r w:rsidRPr="00D94D08">
        <w:rPr>
          <w:rFonts w:cs="Arial"/>
        </w:rPr>
        <w:t>, służącym do transportu i umieszczania elementów ru</w:t>
      </w:r>
      <w:r>
        <w:rPr>
          <w:rFonts w:cs="Arial"/>
        </w:rPr>
        <w:t>chomego dna i przegrody w niecce</w:t>
      </w:r>
      <w:r w:rsidRPr="00D94D08">
        <w:rPr>
          <w:rFonts w:cs="Arial"/>
        </w:rPr>
        <w:t>.</w:t>
      </w:r>
    </w:p>
    <w:p w:rsidR="00CF74CA" w:rsidRPr="00CF74CA" w:rsidRDefault="00CF74CA" w:rsidP="00CF74CA">
      <w:pPr>
        <w:spacing w:after="0"/>
        <w:jc w:val="both"/>
        <w:rPr>
          <w:rFonts w:cs="Calibri"/>
          <w:bCs/>
        </w:rPr>
      </w:pPr>
    </w:p>
    <w:p w:rsidR="00CF74CA" w:rsidRPr="00CF74CA" w:rsidRDefault="00CF74CA" w:rsidP="00CF74CA">
      <w:pPr>
        <w:pStyle w:val="Akapitzlist"/>
        <w:numPr>
          <w:ilvl w:val="0"/>
          <w:numId w:val="1"/>
        </w:numPr>
        <w:spacing w:after="0"/>
        <w:jc w:val="both"/>
        <w:rPr>
          <w:rFonts w:cs="Calibri"/>
          <w:b/>
          <w:bCs/>
        </w:rPr>
      </w:pPr>
      <w:r w:rsidRPr="00CF74CA">
        <w:rPr>
          <w:rFonts w:cs="Calibri"/>
          <w:b/>
          <w:bCs/>
        </w:rPr>
        <w:t>WYMAGANIA DOTYCZĄCE ŚRODKÓW TRANSPORTU</w:t>
      </w:r>
    </w:p>
    <w:p w:rsidR="00CF74CA" w:rsidRPr="00CF74CA" w:rsidRDefault="00CF74CA" w:rsidP="00CF74CA">
      <w:pPr>
        <w:spacing w:after="0"/>
        <w:jc w:val="both"/>
        <w:rPr>
          <w:rFonts w:cs="Calibri"/>
          <w:bCs/>
        </w:rPr>
      </w:pPr>
      <w:r w:rsidRPr="00CF74CA">
        <w:rPr>
          <w:rFonts w:cs="Calibri"/>
          <w:bCs/>
        </w:rPr>
        <w:t>Wymagania ogólne dotyczące środków transportu podano w ST 00.01. „Wymagania ogólne”.</w:t>
      </w:r>
    </w:p>
    <w:p w:rsidR="00CF74CA" w:rsidRDefault="00CF74CA" w:rsidP="00CF74CA">
      <w:pPr>
        <w:spacing w:after="0"/>
        <w:jc w:val="both"/>
        <w:rPr>
          <w:rFonts w:cs="Calibri"/>
          <w:bCs/>
        </w:rPr>
      </w:pPr>
      <w:r w:rsidRPr="00CF74CA">
        <w:rPr>
          <w:rFonts w:cs="Calibri"/>
          <w:bCs/>
        </w:rPr>
        <w:t>Wykonawca jest zobowiązany. do stosowania jedynie takich środków transportu, które nie wpływają niekorzystnie na jakość wykonywanych robót i właściwości przewożonych materiałów. Przy ruchu po drogach publicznych pojazdy będą spełniać wymagania dotyczące przepisów ruchu drogowego. Wykonawca będzie na bieżąco i na własny koszt usuwać wszelkie zanieczyszczenia i uszkodzenia spowodowane jego pojazdami na drogach publicznych i dojazdach do budowy.</w:t>
      </w:r>
    </w:p>
    <w:p w:rsidR="008F6EBA" w:rsidRDefault="008F6EBA" w:rsidP="00CF74CA">
      <w:pPr>
        <w:spacing w:after="0"/>
        <w:jc w:val="both"/>
        <w:rPr>
          <w:rFonts w:cs="Calibri"/>
          <w:bCs/>
        </w:rPr>
      </w:pPr>
      <w:r>
        <w:rPr>
          <w:rFonts w:cs="Arial"/>
        </w:rPr>
        <w:t xml:space="preserve">Generalny Wykonawca </w:t>
      </w:r>
      <w:r w:rsidRPr="00484CA3">
        <w:rPr>
          <w:rFonts w:cs="Arial"/>
        </w:rPr>
        <w:t xml:space="preserve">powinien </w:t>
      </w:r>
      <w:r>
        <w:rPr>
          <w:rFonts w:cs="Arial"/>
        </w:rPr>
        <w:t xml:space="preserve">zapewnić dostawcy ruchomego dna i przegrody na zawiasach drogę transportową na plac budowy dla samochodów ciężarowych o dł. ok. 16 m, z dźwigiem HDS. Ciężarówki powinny mieć możliwość zaparkowania do rozładunku przy otworze transportowym w budynku. Usytuowanie i rozmiar otworu transportowego </w:t>
      </w:r>
      <w:proofErr w:type="gramStart"/>
      <w:r>
        <w:rPr>
          <w:rFonts w:cs="Arial"/>
        </w:rPr>
        <w:t>będzie</w:t>
      </w:r>
      <w:proofErr w:type="gramEnd"/>
      <w:r>
        <w:rPr>
          <w:rFonts w:cs="Arial"/>
        </w:rPr>
        <w:t xml:space="preserve"> przedmiotem uzgodnień między Generalnym Wykonawcą i producentem urządzeń.</w:t>
      </w:r>
    </w:p>
    <w:p w:rsidR="00CF74CA" w:rsidRPr="00CF74CA" w:rsidRDefault="00CF74CA" w:rsidP="00CF74CA">
      <w:pPr>
        <w:spacing w:after="0"/>
        <w:jc w:val="both"/>
        <w:rPr>
          <w:rFonts w:cs="Calibri"/>
          <w:bCs/>
        </w:rPr>
      </w:pPr>
    </w:p>
    <w:p w:rsidR="00CF74CA" w:rsidRPr="00CF74CA" w:rsidRDefault="00CF74CA" w:rsidP="00CF74CA">
      <w:pPr>
        <w:pStyle w:val="Akapitzlist"/>
        <w:numPr>
          <w:ilvl w:val="0"/>
          <w:numId w:val="1"/>
        </w:numPr>
        <w:spacing w:after="0"/>
        <w:jc w:val="both"/>
        <w:rPr>
          <w:rFonts w:cs="Calibri"/>
          <w:b/>
          <w:bCs/>
        </w:rPr>
      </w:pPr>
      <w:r w:rsidRPr="00CF74CA">
        <w:rPr>
          <w:rFonts w:cs="Calibri"/>
          <w:b/>
          <w:bCs/>
        </w:rPr>
        <w:t>WYMAGANIA DOTYCZĄCE WYKONANIA ROBÓT BUDOWLANYCH</w:t>
      </w:r>
    </w:p>
    <w:p w:rsidR="00CF74CA" w:rsidRPr="00CF74CA" w:rsidRDefault="00CF74CA" w:rsidP="00CF74CA">
      <w:pPr>
        <w:spacing w:after="0"/>
        <w:jc w:val="both"/>
        <w:rPr>
          <w:rFonts w:cs="Calibri"/>
          <w:bCs/>
        </w:rPr>
      </w:pPr>
      <w:r w:rsidRPr="00CF74CA">
        <w:rPr>
          <w:rFonts w:cs="Calibri"/>
          <w:bCs/>
        </w:rPr>
        <w:t>Wymagania ogólne dotyczące wykonania robót podano w „Wymagania ogólne”.</w:t>
      </w:r>
    </w:p>
    <w:p w:rsidR="00CF74CA" w:rsidRPr="00CF74CA" w:rsidRDefault="00CF74CA" w:rsidP="00CF74CA">
      <w:pPr>
        <w:pStyle w:val="Akapitzlist"/>
        <w:numPr>
          <w:ilvl w:val="1"/>
          <w:numId w:val="1"/>
        </w:numPr>
        <w:spacing w:after="0"/>
        <w:jc w:val="both"/>
        <w:rPr>
          <w:rFonts w:cs="Calibri"/>
          <w:b/>
          <w:bCs/>
        </w:rPr>
      </w:pPr>
      <w:r w:rsidRPr="00CF74CA">
        <w:rPr>
          <w:rFonts w:cs="Calibri"/>
          <w:b/>
          <w:bCs/>
        </w:rPr>
        <w:t>Wymagania ogólne</w:t>
      </w:r>
    </w:p>
    <w:p w:rsidR="00CF74CA" w:rsidRPr="00CF74CA" w:rsidRDefault="00CF74CA" w:rsidP="00CF74CA">
      <w:pPr>
        <w:spacing w:after="0"/>
        <w:jc w:val="both"/>
        <w:rPr>
          <w:rFonts w:cs="Calibri"/>
          <w:bCs/>
        </w:rPr>
      </w:pPr>
      <w:r w:rsidRPr="00CF74CA">
        <w:rPr>
          <w:rFonts w:cs="Calibri"/>
          <w:bCs/>
        </w:rPr>
        <w:lastRenderedPageBreak/>
        <w:t xml:space="preserve">Specyfikacja architektoniczna nie stanowi wykazu wszystkich działań, koniecznych dyspozycji, elementów i środków podjętych w celu realizacji robót. Nie stanowi także instrukcji wykonania prac lub stosowania wybranych elementów, zestawów </w:t>
      </w:r>
      <w:proofErr w:type="gramStart"/>
      <w:r w:rsidRPr="00CF74CA">
        <w:rPr>
          <w:rFonts w:cs="Calibri"/>
          <w:bCs/>
        </w:rPr>
        <w:t>elementów,</w:t>
      </w:r>
      <w:proofErr w:type="gramEnd"/>
      <w:r w:rsidRPr="00CF74CA">
        <w:rPr>
          <w:rFonts w:cs="Calibri"/>
          <w:bCs/>
        </w:rPr>
        <w:t xml:space="preserve"> czy technologii. Zastosowanie powyższych musi być zgodne z wytycznymi i wymaganiami Dostawcy, Producenta lub </w:t>
      </w:r>
      <w:proofErr w:type="gramStart"/>
      <w:r w:rsidRPr="00CF74CA">
        <w:rPr>
          <w:rFonts w:cs="Calibri"/>
          <w:bCs/>
        </w:rPr>
        <w:t>Twórcy,</w:t>
      </w:r>
      <w:proofErr w:type="gramEnd"/>
      <w:r w:rsidRPr="00CF74CA">
        <w:rPr>
          <w:rFonts w:cs="Calibri"/>
          <w:bCs/>
        </w:rPr>
        <w:t xml:space="preserve"> czy Właściciela danej technologii, a także zgodne z przepisami, wiedzą techniczną i praktyką budowlaną. Specyfikacja architektoniczna podaje minimalne wymagania i parametry oraz określa zasady rozwiązań, które muszą być uwzględnione, uściślone i dostosowane do sytuacji w dokumentacji warsztatowej Wykonawcy. Specyfikację należy traktować jako zbiór podstawowych danych i wymagań koniecznych do spełnienia Dostawca zobowiązany jest do prawidłowego ustawienia i wypoziomowania wyposażenia ruchomego, zgodnie z uzgodnionym projektem aranżacji. Elementy wyposażenia wymienione w pkt 2. powinny posiadać wszystkie certyfikaty i atesty dopuszczalności stosowania na polskim rynku. Wyposażenie należy usytuować zgodnie z Projektem wykonawczym. </w:t>
      </w:r>
    </w:p>
    <w:p w:rsidR="00CF74CA" w:rsidRDefault="00CF74CA" w:rsidP="00CF74CA">
      <w:pPr>
        <w:spacing w:after="0"/>
        <w:jc w:val="both"/>
        <w:rPr>
          <w:rFonts w:cs="Calibri"/>
          <w:bCs/>
        </w:rPr>
      </w:pPr>
      <w:r w:rsidRPr="00CF74CA">
        <w:rPr>
          <w:rFonts w:cs="Calibri"/>
          <w:bCs/>
        </w:rPr>
        <w:t>Wszystkie prace dotyczące montażu elementów wyposażenia należy wykonać zgodnie z wytycznymi producenta.</w:t>
      </w:r>
    </w:p>
    <w:p w:rsidR="00CF74CA" w:rsidRPr="00CF74CA" w:rsidRDefault="00CF74CA" w:rsidP="00CF74CA">
      <w:pPr>
        <w:spacing w:after="0"/>
        <w:jc w:val="both"/>
        <w:rPr>
          <w:rFonts w:cs="Calibri"/>
          <w:bCs/>
        </w:rPr>
      </w:pPr>
    </w:p>
    <w:p w:rsidR="00CF74CA" w:rsidRPr="00CF74CA" w:rsidRDefault="00CF74CA" w:rsidP="00CF74CA">
      <w:pPr>
        <w:pStyle w:val="Akapitzlist"/>
        <w:numPr>
          <w:ilvl w:val="0"/>
          <w:numId w:val="1"/>
        </w:numPr>
        <w:spacing w:after="0"/>
        <w:jc w:val="both"/>
        <w:rPr>
          <w:rFonts w:cs="Calibri"/>
          <w:b/>
          <w:bCs/>
        </w:rPr>
      </w:pPr>
      <w:r w:rsidRPr="00CF74CA">
        <w:rPr>
          <w:rFonts w:cs="Calibri"/>
          <w:b/>
          <w:bCs/>
        </w:rPr>
        <w:t>OPIS DZIAŁAŃ ZWIĄZANYCH Z KONTROLĄ, BADANIAMI ORAZ ODBIOREM WYROBÓW I ROBÓT BUDOWLANYCH W NAWIĄZANIU DO DOKUMENTÓW ODNIESIENIA</w:t>
      </w:r>
    </w:p>
    <w:p w:rsidR="00CF74CA" w:rsidRPr="00CF74CA" w:rsidRDefault="00CF74CA" w:rsidP="00CF74CA">
      <w:pPr>
        <w:pStyle w:val="Akapitzlist"/>
        <w:numPr>
          <w:ilvl w:val="1"/>
          <w:numId w:val="1"/>
        </w:numPr>
        <w:spacing w:after="0"/>
        <w:jc w:val="both"/>
        <w:rPr>
          <w:rFonts w:cs="Calibri"/>
          <w:b/>
          <w:bCs/>
        </w:rPr>
      </w:pPr>
      <w:r w:rsidRPr="00CF74CA">
        <w:rPr>
          <w:rFonts w:cs="Calibri"/>
          <w:b/>
          <w:bCs/>
        </w:rPr>
        <w:t>Ogólne zasady kontroli jakości robót</w:t>
      </w:r>
    </w:p>
    <w:p w:rsidR="00CF74CA" w:rsidRPr="00CF74CA" w:rsidRDefault="00CF74CA" w:rsidP="00CF74CA">
      <w:pPr>
        <w:spacing w:after="0"/>
        <w:jc w:val="both"/>
        <w:rPr>
          <w:rFonts w:cs="Calibri"/>
          <w:bCs/>
        </w:rPr>
      </w:pPr>
      <w:r w:rsidRPr="00CF74CA">
        <w:rPr>
          <w:rFonts w:cs="Calibri"/>
          <w:bCs/>
        </w:rPr>
        <w:t>Ogólne zasady kontroli jakości robót podano w dziale „Wymagania ogólne”.</w:t>
      </w:r>
    </w:p>
    <w:p w:rsidR="00CF74CA" w:rsidRPr="00CF74CA" w:rsidRDefault="00CF74CA" w:rsidP="00CF74CA">
      <w:pPr>
        <w:pStyle w:val="Akapitzlist"/>
        <w:numPr>
          <w:ilvl w:val="1"/>
          <w:numId w:val="1"/>
        </w:numPr>
        <w:spacing w:after="0"/>
        <w:jc w:val="both"/>
        <w:rPr>
          <w:rFonts w:cs="Calibri"/>
          <w:b/>
          <w:bCs/>
        </w:rPr>
      </w:pPr>
      <w:r w:rsidRPr="00CF74CA">
        <w:rPr>
          <w:rFonts w:cs="Calibri"/>
          <w:b/>
          <w:bCs/>
        </w:rPr>
        <w:t>Kontrola jakości materiałów</w:t>
      </w:r>
    </w:p>
    <w:p w:rsidR="00CF74CA" w:rsidRPr="00CF74CA" w:rsidRDefault="00CF74CA" w:rsidP="00CF74CA">
      <w:pPr>
        <w:spacing w:after="0"/>
        <w:jc w:val="both"/>
        <w:rPr>
          <w:rFonts w:cs="Calibri"/>
          <w:bCs/>
        </w:rPr>
      </w:pPr>
      <w:r w:rsidRPr="00CF74CA">
        <w:rPr>
          <w:rFonts w:cs="Calibri"/>
          <w:bCs/>
        </w:rPr>
        <w:t>Wymagana jakość materiałów powinna być potwierdzona przez producenta przez zaświadczenie o jakości lub znakiem kontroli jakości zamieszczonym na opakowaniu lub innym dokumentem. Należy sprawdzić prawidłowość wykonania podłoża.</w:t>
      </w:r>
    </w:p>
    <w:p w:rsidR="00CF74CA" w:rsidRDefault="00CF74CA" w:rsidP="00CF74CA">
      <w:pPr>
        <w:spacing w:after="0"/>
        <w:jc w:val="both"/>
        <w:rPr>
          <w:rFonts w:cs="Calibri"/>
          <w:bCs/>
        </w:rPr>
      </w:pPr>
      <w:r w:rsidRPr="00CF74CA">
        <w:rPr>
          <w:rFonts w:cs="Calibri"/>
          <w:bCs/>
        </w:rPr>
        <w:t>Celem kontroli robót jest takie sterowanie ich przygotowaniem i wykonaniem, aby osiągnąć założoną jakość robót. Wykonawca jest odpowiedzialny za pełna kontrole robót i jakości materiałów. Wykonawca dostarczy Inspektorowi Nadzoru kopie Aprobat, świadectw, certyfikatów na zastosowane materiały. W przypadku stosowania materiałów budzących wątpliwości, złej jakości wykonawstwa, Inspektor Nadzoru, wstrzyma roboty i zobowiąże Wykonawcę do usunięcia wad, zastosowania odpowiedniej jakości materiałów.</w:t>
      </w:r>
    </w:p>
    <w:p w:rsidR="00CF74CA" w:rsidRPr="00CF74CA" w:rsidRDefault="00CF74CA" w:rsidP="00CF74CA">
      <w:pPr>
        <w:spacing w:after="0"/>
        <w:jc w:val="both"/>
        <w:rPr>
          <w:rFonts w:cs="Calibri"/>
          <w:b/>
          <w:bCs/>
        </w:rPr>
      </w:pPr>
      <w:r w:rsidRPr="00CF74CA">
        <w:rPr>
          <w:rFonts w:cs="Calibri"/>
          <w:b/>
          <w:bCs/>
        </w:rPr>
        <w:t>Kontrola, pomiary i badania w czasie robót</w:t>
      </w:r>
    </w:p>
    <w:p w:rsidR="00CF74CA" w:rsidRPr="00CF74CA" w:rsidRDefault="00CF74CA" w:rsidP="00CF74CA">
      <w:pPr>
        <w:spacing w:after="0"/>
        <w:jc w:val="both"/>
        <w:rPr>
          <w:rFonts w:cs="Calibri"/>
          <w:bCs/>
        </w:rPr>
      </w:pPr>
      <w:r w:rsidRPr="00CF74CA">
        <w:rPr>
          <w:rFonts w:cs="Calibri"/>
          <w:bCs/>
        </w:rPr>
        <w:t>Wykonawca jest zobowiązany do stałej i systematycznej kontroli prowadzonych robót w zakresie i z częstością zaakceptowana przez Inspektora Nadzoru, Kontroli podlega pełny zakres robót, oraz asortyment stosowanych materiałów.</w:t>
      </w:r>
    </w:p>
    <w:p w:rsidR="00CF74CA" w:rsidRPr="00CF74CA" w:rsidRDefault="00CF74CA" w:rsidP="00CF74CA">
      <w:pPr>
        <w:spacing w:after="0"/>
        <w:jc w:val="both"/>
        <w:rPr>
          <w:rFonts w:cs="Calibri"/>
          <w:bCs/>
        </w:rPr>
      </w:pPr>
      <w:r w:rsidRPr="00CF74CA">
        <w:rPr>
          <w:rFonts w:cs="Calibri"/>
          <w:bCs/>
        </w:rPr>
        <w:t>Kontrola obejmuje:</w:t>
      </w:r>
    </w:p>
    <w:p w:rsidR="00CF74CA" w:rsidRPr="00CF74CA" w:rsidRDefault="00CF74CA" w:rsidP="00CF74CA">
      <w:pPr>
        <w:spacing w:after="0"/>
        <w:jc w:val="both"/>
        <w:rPr>
          <w:rFonts w:cs="Calibri"/>
          <w:bCs/>
        </w:rPr>
      </w:pPr>
      <w:r w:rsidRPr="00CF74CA">
        <w:rPr>
          <w:rFonts w:cs="Calibri"/>
          <w:bCs/>
        </w:rPr>
        <w:t>· zgodność wykonanych robót z dokumentacja projektowa,</w:t>
      </w:r>
    </w:p>
    <w:p w:rsidR="00CF74CA" w:rsidRPr="00CF74CA" w:rsidRDefault="00CF74CA" w:rsidP="00CF74CA">
      <w:pPr>
        <w:spacing w:after="0"/>
        <w:jc w:val="both"/>
        <w:rPr>
          <w:rFonts w:cs="Calibri"/>
          <w:bCs/>
        </w:rPr>
      </w:pPr>
      <w:r w:rsidRPr="00CF74CA">
        <w:rPr>
          <w:rFonts w:cs="Calibri"/>
          <w:bCs/>
        </w:rPr>
        <w:t>· sprawdzenie materiałów i porównanie ich cech na zgodność z dokumentami dostarczonymi przez wytwórcę (certyfikaty lub deklaracje zgodności) oraz przez oględziny zewnętrzne na budowie.</w:t>
      </w:r>
    </w:p>
    <w:p w:rsidR="00CF74CA" w:rsidRPr="00CF74CA" w:rsidRDefault="00CF74CA" w:rsidP="00CF74CA">
      <w:pPr>
        <w:spacing w:after="0"/>
        <w:jc w:val="both"/>
        <w:rPr>
          <w:rFonts w:cs="Calibri"/>
          <w:bCs/>
        </w:rPr>
      </w:pPr>
      <w:r w:rsidRPr="00CF74CA">
        <w:rPr>
          <w:rFonts w:cs="Calibri"/>
          <w:bCs/>
        </w:rPr>
        <w:t>· roboty montażowe</w:t>
      </w:r>
    </w:p>
    <w:p w:rsidR="00CF74CA" w:rsidRDefault="00CF74CA" w:rsidP="00CF74CA">
      <w:pPr>
        <w:spacing w:after="0"/>
        <w:jc w:val="both"/>
        <w:rPr>
          <w:rFonts w:cs="Calibri"/>
          <w:bCs/>
        </w:rPr>
      </w:pPr>
      <w:r w:rsidRPr="00CF74CA">
        <w:rPr>
          <w:rFonts w:cs="Calibri"/>
          <w:bCs/>
        </w:rPr>
        <w:t>· kontrola zachowania warunków bhp.</w:t>
      </w:r>
    </w:p>
    <w:p w:rsidR="008F6EBA" w:rsidRPr="00CF74CA" w:rsidRDefault="008F6EBA" w:rsidP="00CF74CA">
      <w:pPr>
        <w:spacing w:after="0"/>
        <w:jc w:val="both"/>
        <w:rPr>
          <w:rFonts w:cs="Calibri"/>
          <w:bCs/>
        </w:rPr>
      </w:pPr>
    </w:p>
    <w:p w:rsidR="00CF74CA" w:rsidRPr="00CF74CA" w:rsidRDefault="00CF74CA" w:rsidP="00CF74CA">
      <w:pPr>
        <w:pStyle w:val="Akapitzlist"/>
        <w:numPr>
          <w:ilvl w:val="0"/>
          <w:numId w:val="1"/>
        </w:numPr>
        <w:spacing w:after="0"/>
        <w:jc w:val="both"/>
        <w:rPr>
          <w:rFonts w:cs="Calibri"/>
          <w:b/>
          <w:bCs/>
        </w:rPr>
      </w:pPr>
      <w:r w:rsidRPr="00CF74CA">
        <w:rPr>
          <w:rFonts w:cs="Calibri"/>
          <w:b/>
          <w:bCs/>
        </w:rPr>
        <w:t>WYMAGANIA DOTYCZĄCE PRZEDMIARU I OBMIARU ROBÓT</w:t>
      </w:r>
    </w:p>
    <w:p w:rsidR="00CF74CA" w:rsidRPr="00CF74CA" w:rsidRDefault="00CF74CA" w:rsidP="00CF74CA">
      <w:pPr>
        <w:spacing w:after="0"/>
        <w:jc w:val="both"/>
        <w:rPr>
          <w:rFonts w:cs="Calibri"/>
          <w:bCs/>
        </w:rPr>
      </w:pPr>
      <w:r w:rsidRPr="00CF74CA">
        <w:rPr>
          <w:rFonts w:cs="Calibri"/>
          <w:bCs/>
        </w:rPr>
        <w:t>Wymagania ogólne dotyczące przedmiaru podano w dziale</w:t>
      </w:r>
      <w:r>
        <w:rPr>
          <w:rFonts w:cs="Calibri"/>
          <w:bCs/>
        </w:rPr>
        <w:t xml:space="preserve"> </w:t>
      </w:r>
      <w:r w:rsidRPr="00CF74CA">
        <w:rPr>
          <w:rFonts w:cs="Calibri"/>
          <w:bCs/>
        </w:rPr>
        <w:t>„Wymagania ogólne”.</w:t>
      </w:r>
    </w:p>
    <w:p w:rsidR="00CF74CA" w:rsidRDefault="00D62795" w:rsidP="00CF74CA">
      <w:pPr>
        <w:spacing w:after="0"/>
        <w:jc w:val="both"/>
        <w:rPr>
          <w:rFonts w:cs="Calibri"/>
          <w:bCs/>
        </w:rPr>
      </w:pPr>
      <w:r>
        <w:rPr>
          <w:rFonts w:cs="Calibri"/>
          <w:bCs/>
        </w:rPr>
        <w:t>Jednostka obmiarowa zgodnie z przedmiarem</w:t>
      </w:r>
      <w:r w:rsidR="00CF74CA" w:rsidRPr="00CF74CA">
        <w:rPr>
          <w:rFonts w:cs="Calibri"/>
          <w:bCs/>
        </w:rPr>
        <w:t>.</w:t>
      </w:r>
    </w:p>
    <w:p w:rsidR="008F6EBA" w:rsidRDefault="008F6EBA" w:rsidP="00CF74CA">
      <w:pPr>
        <w:spacing w:after="0"/>
        <w:jc w:val="both"/>
        <w:rPr>
          <w:rFonts w:cs="Calibri"/>
          <w:bCs/>
        </w:rPr>
      </w:pPr>
    </w:p>
    <w:p w:rsidR="00DA245E" w:rsidRPr="00CF74CA" w:rsidRDefault="00DA245E" w:rsidP="00CF74CA">
      <w:pPr>
        <w:spacing w:after="0"/>
        <w:jc w:val="both"/>
        <w:rPr>
          <w:rFonts w:cs="Calibri"/>
          <w:bCs/>
        </w:rPr>
      </w:pPr>
    </w:p>
    <w:p w:rsidR="00CF74CA" w:rsidRPr="00CF74CA" w:rsidRDefault="00CF74CA" w:rsidP="00CF74CA">
      <w:pPr>
        <w:pStyle w:val="Akapitzlist"/>
        <w:numPr>
          <w:ilvl w:val="0"/>
          <w:numId w:val="1"/>
        </w:numPr>
        <w:spacing w:after="0"/>
        <w:jc w:val="both"/>
        <w:rPr>
          <w:rFonts w:cs="Calibri"/>
          <w:b/>
          <w:bCs/>
        </w:rPr>
      </w:pPr>
      <w:r w:rsidRPr="00CF74CA">
        <w:rPr>
          <w:rFonts w:cs="Calibri"/>
          <w:b/>
          <w:bCs/>
        </w:rPr>
        <w:lastRenderedPageBreak/>
        <w:t>OPIS SPOSOBU ODBIORU ROBÓT BUDOWLANYCH</w:t>
      </w:r>
    </w:p>
    <w:p w:rsidR="00CF74CA" w:rsidRPr="00CF74CA" w:rsidRDefault="00CF74CA" w:rsidP="00CF74CA">
      <w:pPr>
        <w:spacing w:after="0"/>
        <w:jc w:val="both"/>
        <w:rPr>
          <w:rFonts w:cs="Calibri"/>
          <w:bCs/>
        </w:rPr>
      </w:pPr>
      <w:r w:rsidRPr="00CF74CA">
        <w:rPr>
          <w:rFonts w:cs="Calibri"/>
          <w:bCs/>
        </w:rPr>
        <w:t>Wymagania ogólne dotyczące odbioru robót podano w dziale „Wymagania ogólne”.</w:t>
      </w:r>
    </w:p>
    <w:p w:rsidR="00CF74CA" w:rsidRPr="00CF74CA" w:rsidRDefault="00CF74CA" w:rsidP="00CF74CA">
      <w:pPr>
        <w:pStyle w:val="Akapitzlist"/>
        <w:numPr>
          <w:ilvl w:val="1"/>
          <w:numId w:val="1"/>
        </w:numPr>
        <w:spacing w:after="0"/>
        <w:jc w:val="both"/>
        <w:rPr>
          <w:rFonts w:cs="Calibri"/>
          <w:b/>
          <w:bCs/>
        </w:rPr>
      </w:pPr>
      <w:r w:rsidRPr="00CF74CA">
        <w:rPr>
          <w:rFonts w:cs="Calibri"/>
          <w:b/>
          <w:bCs/>
        </w:rPr>
        <w:t>Zgodność robót z projektem i Specyfikacją.</w:t>
      </w:r>
    </w:p>
    <w:p w:rsidR="00CF74CA" w:rsidRPr="00CF74CA" w:rsidRDefault="00CF74CA" w:rsidP="00CF74CA">
      <w:pPr>
        <w:spacing w:after="0"/>
        <w:jc w:val="both"/>
        <w:rPr>
          <w:rFonts w:cs="Calibri"/>
          <w:bCs/>
        </w:rPr>
      </w:pPr>
      <w:r w:rsidRPr="00CF74CA">
        <w:rPr>
          <w:rFonts w:cs="Calibri"/>
          <w:bCs/>
        </w:rPr>
        <w:t>Roboty powinny być wykonane zgodnie z dokumentacją projektową, Specyfikacją Techniczną oraz pisemnymi decyzjami Inspektora.</w:t>
      </w:r>
    </w:p>
    <w:p w:rsidR="00CF74CA" w:rsidRPr="00CF74CA" w:rsidRDefault="00CF74CA" w:rsidP="00CF74CA">
      <w:pPr>
        <w:pStyle w:val="Akapitzlist"/>
        <w:numPr>
          <w:ilvl w:val="1"/>
          <w:numId w:val="1"/>
        </w:numPr>
        <w:spacing w:after="0"/>
        <w:jc w:val="both"/>
        <w:rPr>
          <w:rFonts w:cs="Calibri"/>
          <w:b/>
          <w:bCs/>
        </w:rPr>
      </w:pPr>
      <w:r w:rsidRPr="00CF74CA">
        <w:rPr>
          <w:rFonts w:cs="Calibri"/>
          <w:b/>
          <w:bCs/>
        </w:rPr>
        <w:t>Odbiór robót</w:t>
      </w:r>
    </w:p>
    <w:p w:rsidR="00CF74CA" w:rsidRPr="00CF74CA" w:rsidRDefault="00CF74CA" w:rsidP="00CF74CA">
      <w:pPr>
        <w:spacing w:after="0"/>
        <w:jc w:val="both"/>
        <w:rPr>
          <w:rFonts w:cs="Calibri"/>
          <w:bCs/>
        </w:rPr>
      </w:pPr>
      <w:r w:rsidRPr="00CF74CA">
        <w:rPr>
          <w:rFonts w:cs="Calibri"/>
          <w:bCs/>
        </w:rPr>
        <w:t>Roboty uznaje się za zgodne z dokumentacja projektowa, ST i wymaganiami Inspektora Nadzoru, jeżeli wszystkie pomiary i badania dały pozytywne wyniki.</w:t>
      </w:r>
    </w:p>
    <w:p w:rsidR="00CF74CA" w:rsidRPr="00CF74CA" w:rsidRDefault="00CF74CA" w:rsidP="00CF74CA">
      <w:pPr>
        <w:spacing w:after="0"/>
        <w:jc w:val="both"/>
        <w:rPr>
          <w:rFonts w:cs="Calibri"/>
          <w:bCs/>
        </w:rPr>
      </w:pPr>
      <w:r w:rsidRPr="00CF74CA">
        <w:rPr>
          <w:rFonts w:cs="Calibri"/>
          <w:bCs/>
        </w:rPr>
        <w:t xml:space="preserve">Gotowość robót do odbioru zgłasza Wykonawca. Odbiór będzie przeprowadzony niezwłocznie, nie później jednak niż w ciągu 3 dni od daty powiadomienia o tym fakcie Inspektora </w:t>
      </w:r>
      <w:proofErr w:type="gramStart"/>
      <w:r w:rsidRPr="00CF74CA">
        <w:rPr>
          <w:rFonts w:cs="Calibri"/>
          <w:bCs/>
        </w:rPr>
        <w:t>Nadzoru,.</w:t>
      </w:r>
      <w:proofErr w:type="gramEnd"/>
    </w:p>
    <w:p w:rsidR="00CF74CA" w:rsidRPr="00CF74CA" w:rsidRDefault="00CF74CA" w:rsidP="00CF74CA">
      <w:pPr>
        <w:spacing w:after="0"/>
        <w:jc w:val="both"/>
        <w:rPr>
          <w:rFonts w:cs="Calibri"/>
          <w:bCs/>
        </w:rPr>
      </w:pPr>
      <w:r w:rsidRPr="00CF74CA">
        <w:rPr>
          <w:rFonts w:cs="Calibri"/>
          <w:bCs/>
        </w:rPr>
        <w:t>Odbioru ostatecznego robót dokona komisja wyznaczona przez zamawiającego w obecności Inspektora i Wykonawcy. Komisja odbierające roboty dokona ich oceny jakościowej na podstawie przedłożonych dokumentów, wyników badan i pomiarów, ocenie wizualnej oraz zgodności wykonania robót z dokumentacja projektowa i ST.</w:t>
      </w:r>
    </w:p>
    <w:p w:rsidR="00CF74CA" w:rsidRPr="00CF74CA" w:rsidRDefault="00CF74CA" w:rsidP="00CF74CA">
      <w:pPr>
        <w:spacing w:after="0"/>
        <w:jc w:val="both"/>
        <w:rPr>
          <w:rFonts w:cs="Calibri"/>
          <w:bCs/>
        </w:rPr>
      </w:pPr>
      <w:r w:rsidRPr="00CF74CA">
        <w:rPr>
          <w:rFonts w:cs="Calibri"/>
          <w:bCs/>
        </w:rPr>
        <w:t>Podstawowym dokumentem do dokonania odbioru ostatecznego robót jest protokół odbioru ostatecznego robót sporządzony wg wzoru ustalonego przez Zamawiającego. Do odbioru ostatecznego Wykonawca jest zobowiązany przygotować dokumenty wskazane przez zamawiającego, min: deklaracje zgodności lub certyfikaty zgodności wbudowanych materiałów zgodnie z projektem i ST. Wszystkie zarządzone przez komisje roboty poprawkowe lub</w:t>
      </w:r>
    </w:p>
    <w:p w:rsidR="00CF74CA" w:rsidRPr="00CF74CA" w:rsidRDefault="00CF74CA" w:rsidP="00CF74CA">
      <w:pPr>
        <w:spacing w:after="0"/>
        <w:jc w:val="both"/>
        <w:rPr>
          <w:rFonts w:cs="Calibri"/>
          <w:bCs/>
        </w:rPr>
      </w:pPr>
      <w:r w:rsidRPr="00CF74CA">
        <w:rPr>
          <w:rFonts w:cs="Calibri"/>
          <w:bCs/>
        </w:rPr>
        <w:t>uzupełniające będą zestawione wg wzoru ustalonego przez Zamawiającego.</w:t>
      </w:r>
    </w:p>
    <w:p w:rsidR="00CF74CA" w:rsidRDefault="00CF74CA" w:rsidP="00736E18">
      <w:pPr>
        <w:spacing w:after="0"/>
        <w:jc w:val="both"/>
        <w:rPr>
          <w:rFonts w:cs="Calibri"/>
          <w:bCs/>
        </w:rPr>
      </w:pPr>
    </w:p>
    <w:p w:rsidR="00307154" w:rsidRPr="005E7EE0" w:rsidRDefault="00307154" w:rsidP="00832D71">
      <w:pPr>
        <w:pStyle w:val="Akapitzlist"/>
        <w:numPr>
          <w:ilvl w:val="0"/>
          <w:numId w:val="1"/>
        </w:numPr>
        <w:spacing w:after="0"/>
        <w:jc w:val="both"/>
        <w:rPr>
          <w:rFonts w:cs="Calibri"/>
          <w:b/>
          <w:bCs/>
          <w:caps/>
        </w:rPr>
      </w:pPr>
      <w:r w:rsidRPr="005E7EE0">
        <w:rPr>
          <w:rFonts w:cs="Calibri"/>
          <w:b/>
          <w:bCs/>
          <w:cap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832D71">
      <w:pPr>
        <w:numPr>
          <w:ilvl w:val="0"/>
          <w:numId w:val="2"/>
        </w:numPr>
        <w:spacing w:after="0"/>
        <w:jc w:val="both"/>
        <w:rPr>
          <w:rFonts w:cs="Calibri"/>
          <w:bCs/>
        </w:rPr>
      </w:pPr>
      <w:r w:rsidRPr="005E7EE0">
        <w:rPr>
          <w:rFonts w:cs="Calibri"/>
          <w:bCs/>
        </w:rPr>
        <w:t>Specyfikacja Istotnych Warunków Zamówienia dla przedmiotowego zadania,</w:t>
      </w:r>
    </w:p>
    <w:p w:rsidR="00307154" w:rsidRPr="005E7EE0" w:rsidRDefault="00307154" w:rsidP="00832D71">
      <w:pPr>
        <w:numPr>
          <w:ilvl w:val="0"/>
          <w:numId w:val="2"/>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832D71">
      <w:pPr>
        <w:numPr>
          <w:ilvl w:val="0"/>
          <w:numId w:val="2"/>
        </w:numPr>
        <w:spacing w:after="0"/>
        <w:jc w:val="both"/>
        <w:rPr>
          <w:rFonts w:cs="Calibri"/>
          <w:bCs/>
        </w:rPr>
      </w:pPr>
      <w:r w:rsidRPr="005E7EE0">
        <w:rPr>
          <w:rFonts w:cs="Calibri"/>
          <w:bCs/>
        </w:rPr>
        <w:t>zatwierdzona przez Zamawiającego dokumentacja wykonawcza ww. zadania</w:t>
      </w:r>
    </w:p>
    <w:p w:rsidR="00307154" w:rsidRPr="005E7EE0" w:rsidRDefault="00307154" w:rsidP="00832D71">
      <w:pPr>
        <w:numPr>
          <w:ilvl w:val="0"/>
          <w:numId w:val="2"/>
        </w:numPr>
        <w:spacing w:after="0"/>
        <w:jc w:val="both"/>
        <w:rPr>
          <w:rFonts w:cs="Calibri"/>
          <w:bCs/>
        </w:rPr>
      </w:pPr>
      <w:r w:rsidRPr="005E7EE0">
        <w:rPr>
          <w:rFonts w:cs="Calibri"/>
          <w:bCs/>
        </w:rPr>
        <w:t>normy</w:t>
      </w:r>
    </w:p>
    <w:p w:rsidR="00307154" w:rsidRPr="005E7EE0" w:rsidRDefault="00307154" w:rsidP="00832D71">
      <w:pPr>
        <w:numPr>
          <w:ilvl w:val="0"/>
          <w:numId w:val="2"/>
        </w:numPr>
        <w:spacing w:after="0"/>
        <w:jc w:val="both"/>
        <w:rPr>
          <w:rFonts w:cs="Calibri"/>
          <w:bCs/>
        </w:rPr>
      </w:pPr>
      <w:r w:rsidRPr="005E7EE0">
        <w:rPr>
          <w:rFonts w:cs="Calibri"/>
          <w:bCs/>
        </w:rPr>
        <w:t>aprobaty techniczne</w:t>
      </w:r>
    </w:p>
    <w:p w:rsidR="00307154" w:rsidRPr="005E7EE0" w:rsidRDefault="00307154" w:rsidP="00832D71">
      <w:pPr>
        <w:numPr>
          <w:ilvl w:val="0"/>
          <w:numId w:val="2"/>
        </w:numPr>
        <w:spacing w:after="0"/>
        <w:jc w:val="both"/>
        <w:rPr>
          <w:rFonts w:cs="Calibri"/>
          <w:bCs/>
        </w:rPr>
      </w:pPr>
      <w:r w:rsidRPr="005E7EE0">
        <w:rPr>
          <w:rFonts w:cs="Calibri"/>
          <w:bCs/>
        </w:rPr>
        <w:t>inne dokumenty i ustalenia techniczne prowadzone w trakcie trwania inwestycji.</w:t>
      </w:r>
    </w:p>
    <w:p w:rsidR="00CF74CA" w:rsidRDefault="00CF74CA" w:rsidP="00CF74CA">
      <w:pPr>
        <w:spacing w:after="0"/>
        <w:jc w:val="both"/>
        <w:rPr>
          <w:rFonts w:cs="Calibri"/>
          <w:bCs/>
        </w:rPr>
      </w:pPr>
    </w:p>
    <w:p w:rsidR="00CF74CA" w:rsidRPr="00CF74CA" w:rsidRDefault="00CF74CA" w:rsidP="00CF74CA">
      <w:pPr>
        <w:spacing w:after="0"/>
        <w:jc w:val="both"/>
        <w:rPr>
          <w:rFonts w:cs="Calibri"/>
          <w:bCs/>
        </w:rPr>
      </w:pPr>
      <w:r w:rsidRPr="00CF74CA">
        <w:rPr>
          <w:rFonts w:cs="Calibri"/>
          <w:bCs/>
        </w:rPr>
        <w:t>· Ustawa z dnia 16 04 2004 r. o wyrobach budowlanych (Dz. U. z 2004 r. Nr 92, poz. 881).</w:t>
      </w:r>
    </w:p>
    <w:p w:rsidR="00CF74CA" w:rsidRPr="00CF74CA" w:rsidRDefault="00CF74CA" w:rsidP="00CF74CA">
      <w:pPr>
        <w:spacing w:after="0"/>
        <w:jc w:val="both"/>
        <w:rPr>
          <w:rFonts w:cs="Calibri"/>
          <w:bCs/>
        </w:rPr>
      </w:pPr>
      <w:r w:rsidRPr="00CF74CA">
        <w:rPr>
          <w:rFonts w:cs="Calibri"/>
          <w:bCs/>
        </w:rPr>
        <w:t xml:space="preserve">· Ustawa z dnia 30 08 2002 r. o systemach oceny zgodności (Dz. U. z 2010 r. Nr 138 poz. 935 </w:t>
      </w:r>
      <w:proofErr w:type="spellStart"/>
      <w:r w:rsidRPr="00CF74CA">
        <w:rPr>
          <w:rFonts w:cs="Calibri"/>
          <w:bCs/>
        </w:rPr>
        <w:t>jt</w:t>
      </w:r>
      <w:proofErr w:type="spellEnd"/>
      <w:r w:rsidRPr="00CF74CA">
        <w:rPr>
          <w:rFonts w:cs="Calibri"/>
          <w:bCs/>
        </w:rPr>
        <w:t>.).</w:t>
      </w:r>
    </w:p>
    <w:p w:rsidR="00CF74CA" w:rsidRPr="00CF74CA" w:rsidRDefault="00CF74CA" w:rsidP="00CF74CA">
      <w:pPr>
        <w:spacing w:after="0"/>
        <w:jc w:val="both"/>
        <w:rPr>
          <w:rFonts w:cs="Calibri"/>
          <w:bCs/>
        </w:rPr>
      </w:pPr>
      <w:r w:rsidRPr="00CF74CA">
        <w:rPr>
          <w:rFonts w:cs="Calibri"/>
          <w:bCs/>
        </w:rPr>
        <w:t>· Ustawa z dnia 12 12 2003 r. o ogólnym bezpieczeństwie produktów (Dz. U. z 2003 r. Nr 229</w:t>
      </w:r>
    </w:p>
    <w:p w:rsidR="00CF74CA" w:rsidRPr="00CF74CA" w:rsidRDefault="00CF74CA" w:rsidP="00CF74CA">
      <w:pPr>
        <w:spacing w:after="0"/>
        <w:jc w:val="both"/>
        <w:rPr>
          <w:rFonts w:cs="Calibri"/>
          <w:bCs/>
        </w:rPr>
      </w:pPr>
      <w:r w:rsidRPr="00CF74CA">
        <w:rPr>
          <w:rFonts w:cs="Calibri"/>
          <w:bCs/>
        </w:rPr>
        <w:t>poz.2275).</w:t>
      </w:r>
    </w:p>
    <w:p w:rsidR="00CF74CA" w:rsidRPr="00CF74CA" w:rsidRDefault="00CF74CA" w:rsidP="00CF74CA">
      <w:pPr>
        <w:spacing w:after="0"/>
        <w:jc w:val="both"/>
        <w:rPr>
          <w:rFonts w:cs="Calibri"/>
          <w:bCs/>
        </w:rPr>
      </w:pPr>
      <w:r w:rsidRPr="00CF74CA">
        <w:rPr>
          <w:rFonts w:cs="Calibri"/>
          <w:bCs/>
        </w:rPr>
        <w:t xml:space="preserve">· Ustawa z dnia 7 lipca 1994 r., prawo budowlane (Dz. U. z 2010 r. Nr 243 poz.1623 </w:t>
      </w:r>
      <w:proofErr w:type="spellStart"/>
      <w:r w:rsidRPr="00CF74CA">
        <w:rPr>
          <w:rFonts w:cs="Calibri"/>
          <w:bCs/>
        </w:rPr>
        <w:t>jt</w:t>
      </w:r>
      <w:proofErr w:type="spellEnd"/>
      <w:r w:rsidRPr="00CF74CA">
        <w:rPr>
          <w:rFonts w:cs="Calibri"/>
          <w:bCs/>
        </w:rPr>
        <w:t>.). Dokumentacja warsztatowa</w:t>
      </w:r>
    </w:p>
    <w:p w:rsidR="008F6EBA" w:rsidRDefault="008F6EBA" w:rsidP="002C5B9C">
      <w:pPr>
        <w:spacing w:after="0"/>
        <w:jc w:val="both"/>
        <w:rPr>
          <w:rFonts w:cs="Calibri"/>
          <w:bCs/>
        </w:rPr>
      </w:pPr>
    </w:p>
    <w:p w:rsidR="00C13037" w:rsidRPr="00307154" w:rsidRDefault="00C13037" w:rsidP="00C13037">
      <w:pPr>
        <w:spacing w:after="0"/>
        <w:jc w:val="both"/>
        <w:rPr>
          <w:rFonts w:cs="Calibri"/>
          <w:bCs/>
        </w:rPr>
      </w:pPr>
      <w:proofErr w:type="gramStart"/>
      <w:r w:rsidRPr="00307154">
        <w:rPr>
          <w:rFonts w:cs="Calibri"/>
          <w:bCs/>
        </w:rPr>
        <w:t>Nie wymienienie</w:t>
      </w:r>
      <w:proofErr w:type="gramEnd"/>
      <w:r w:rsidRPr="00307154">
        <w:rPr>
          <w:rFonts w:cs="Calibri"/>
          <w:bCs/>
        </w:rPr>
        <w:t xml:space="preserve"> tytułu jakiejkolwiek dziedziny, grupy, podgrupy czy normy nie zwalnia Wykonawcy od obowiązku stosowania wymogów określonych prawem polskim.</w:t>
      </w:r>
    </w:p>
    <w:p w:rsidR="0054386D" w:rsidRDefault="00C13037" w:rsidP="00AC274D">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3F6" w:rsidRDefault="00C753F6" w:rsidP="00655659">
      <w:pPr>
        <w:spacing w:after="0" w:line="240" w:lineRule="auto"/>
      </w:pPr>
      <w:r>
        <w:separator/>
      </w:r>
    </w:p>
  </w:endnote>
  <w:endnote w:type="continuationSeparator" w:id="0">
    <w:p w:rsidR="00C753F6" w:rsidRDefault="00C753F6"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B31" w:rsidRPr="00B42AED" w:rsidRDefault="00016B31"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Pr="00B42AED">
      <w:rPr>
        <w:sz w:val="18"/>
        <w:szCs w:val="18"/>
      </w:rPr>
      <w:fldChar w:fldCharType="begin"/>
    </w:r>
    <w:r w:rsidRPr="00B42AED">
      <w:rPr>
        <w:sz w:val="18"/>
        <w:szCs w:val="18"/>
      </w:rPr>
      <w:instrText xml:space="preserve"> PAGE   \* MERGEFORMAT </w:instrText>
    </w:r>
    <w:r w:rsidRPr="00B42AED">
      <w:rPr>
        <w:sz w:val="18"/>
        <w:szCs w:val="18"/>
      </w:rPr>
      <w:fldChar w:fldCharType="separate"/>
    </w:r>
    <w:r w:rsidR="008F6EBA">
      <w:rPr>
        <w:noProof/>
        <w:sz w:val="18"/>
        <w:szCs w:val="18"/>
      </w:rPr>
      <w:t>10</w:t>
    </w:r>
    <w:r w:rsidRPr="00B42AED">
      <w:rPr>
        <w:sz w:val="18"/>
        <w:szCs w:val="18"/>
      </w:rPr>
      <w:fldChar w:fldCharType="end"/>
    </w:r>
  </w:p>
  <w:p w:rsidR="00016B31" w:rsidRPr="00005E74" w:rsidRDefault="00016B31" w:rsidP="00BC79B6">
    <w:pPr>
      <w:pStyle w:val="Stopka"/>
      <w:rPr>
        <w:bCs/>
        <w:sz w:val="18"/>
        <w:szCs w:val="18"/>
      </w:rPr>
    </w:pPr>
    <w:r w:rsidRPr="00822B7E">
      <w:rPr>
        <w:bCs/>
        <w:sz w:val="18"/>
        <w:szCs w:val="18"/>
      </w:rPr>
      <w:t>Dostawa i montaż wyposażenia</w:t>
    </w:r>
    <w:r>
      <w:rPr>
        <w:bCs/>
        <w:sz w:val="18"/>
        <w:szCs w:val="18"/>
      </w:rPr>
      <w:t xml:space="preserve"> – </w:t>
    </w:r>
    <w:r w:rsidRPr="00005E74">
      <w:rPr>
        <w:bCs/>
        <w:sz w:val="18"/>
        <w:szCs w:val="18"/>
      </w:rPr>
      <w:t>ST</w:t>
    </w:r>
    <w:r>
      <w:rPr>
        <w:bCs/>
        <w:sz w:val="18"/>
        <w:szCs w:val="18"/>
      </w:rPr>
      <w:t xml:space="preserve"> 01.1</w:t>
    </w:r>
    <w:r w:rsidR="0017621B">
      <w:rPr>
        <w:bCs/>
        <w:sz w:val="18"/>
        <w:szCs w:val="18"/>
      </w:rPr>
      <w:t>3</w:t>
    </w:r>
  </w:p>
  <w:p w:rsidR="00016B31" w:rsidRPr="00B42AED" w:rsidRDefault="00016B31" w:rsidP="00005E74">
    <w:pPr>
      <w:pStyle w:val="Stopka"/>
      <w:jc w:val="center"/>
      <w:rPr>
        <w:sz w:val="18"/>
        <w:szCs w:val="18"/>
      </w:rPr>
    </w:pPr>
    <w:r w:rsidRPr="00B42AED">
      <w:rPr>
        <w:bCs/>
        <w:sz w:val="18"/>
        <w:szCs w:val="18"/>
      </w:rPr>
      <w:tab/>
    </w:r>
    <w:r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3F6" w:rsidRDefault="00C753F6" w:rsidP="00655659">
      <w:pPr>
        <w:spacing w:after="0" w:line="240" w:lineRule="auto"/>
      </w:pPr>
      <w:r>
        <w:separator/>
      </w:r>
    </w:p>
  </w:footnote>
  <w:footnote w:type="continuationSeparator" w:id="0">
    <w:p w:rsidR="00C753F6" w:rsidRDefault="00C753F6"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60697"/>
    <w:multiLevelType w:val="hybridMultilevel"/>
    <w:tmpl w:val="33966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5E6D38"/>
    <w:multiLevelType w:val="multilevel"/>
    <w:tmpl w:val="9184E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07108"/>
    <w:multiLevelType w:val="multilevel"/>
    <w:tmpl w:val="0E3A4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D040D"/>
    <w:multiLevelType w:val="multilevel"/>
    <w:tmpl w:val="3F7AA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E145A"/>
    <w:multiLevelType w:val="multilevel"/>
    <w:tmpl w:val="D29E8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AD56A5"/>
    <w:multiLevelType w:val="multilevel"/>
    <w:tmpl w:val="74A8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B033FC"/>
    <w:multiLevelType w:val="hybridMultilevel"/>
    <w:tmpl w:val="FD2C3B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95C6A02"/>
    <w:multiLevelType w:val="multilevel"/>
    <w:tmpl w:val="5F76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CC133F"/>
    <w:multiLevelType w:val="multilevel"/>
    <w:tmpl w:val="FD487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0E45A8"/>
    <w:multiLevelType w:val="hybridMultilevel"/>
    <w:tmpl w:val="0CC64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631890"/>
    <w:multiLevelType w:val="hybridMultilevel"/>
    <w:tmpl w:val="87F67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6DC73D4"/>
    <w:multiLevelType w:val="multilevel"/>
    <w:tmpl w:val="D3ACE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987778"/>
    <w:multiLevelType w:val="hybridMultilevel"/>
    <w:tmpl w:val="92D21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CE761A4"/>
    <w:multiLevelType w:val="hybridMultilevel"/>
    <w:tmpl w:val="49906CBC"/>
    <w:lvl w:ilvl="0" w:tplc="C140306E">
      <w:start w:val="3"/>
      <w:numFmt w:val="bullet"/>
      <w:lvlText w:val="-"/>
      <w:lvlJc w:val="left"/>
      <w:pPr>
        <w:tabs>
          <w:tab w:val="num" w:pos="1428"/>
        </w:tabs>
        <w:ind w:left="1428"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2A0CDA"/>
    <w:multiLevelType w:val="multilevel"/>
    <w:tmpl w:val="4EC2D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285E17"/>
    <w:multiLevelType w:val="hybridMultilevel"/>
    <w:tmpl w:val="B3846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05537A4"/>
    <w:multiLevelType w:val="hybridMultilevel"/>
    <w:tmpl w:val="B5BEEA2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5"/>
  </w:num>
  <w:num w:numId="3">
    <w:abstractNumId w:val="12"/>
  </w:num>
  <w:num w:numId="4">
    <w:abstractNumId w:val="0"/>
  </w:num>
  <w:num w:numId="5">
    <w:abstractNumId w:val="14"/>
  </w:num>
  <w:num w:numId="6">
    <w:abstractNumId w:val="7"/>
  </w:num>
  <w:num w:numId="7">
    <w:abstractNumId w:val="10"/>
  </w:num>
  <w:num w:numId="8">
    <w:abstractNumId w:val="17"/>
  </w:num>
  <w:num w:numId="9">
    <w:abstractNumId w:val="16"/>
  </w:num>
  <w:num w:numId="10">
    <w:abstractNumId w:val="8"/>
  </w:num>
  <w:num w:numId="11">
    <w:abstractNumId w:val="6"/>
  </w:num>
  <w:num w:numId="12">
    <w:abstractNumId w:val="3"/>
  </w:num>
  <w:num w:numId="13">
    <w:abstractNumId w:val="13"/>
  </w:num>
  <w:num w:numId="14">
    <w:abstractNumId w:val="9"/>
  </w:num>
  <w:num w:numId="15">
    <w:abstractNumId w:val="4"/>
  </w:num>
  <w:num w:numId="16">
    <w:abstractNumId w:val="1"/>
  </w:num>
  <w:num w:numId="17">
    <w:abstractNumId w:val="2"/>
  </w:num>
  <w:num w:numId="18">
    <w:abstractNumId w:val="15"/>
  </w:num>
  <w:num w:numId="19">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0860"/>
    <w:rsid w:val="00001B21"/>
    <w:rsid w:val="000047B5"/>
    <w:rsid w:val="00005E74"/>
    <w:rsid w:val="00006CBD"/>
    <w:rsid w:val="00011765"/>
    <w:rsid w:val="00015BB4"/>
    <w:rsid w:val="00015D34"/>
    <w:rsid w:val="00016A0F"/>
    <w:rsid w:val="00016B31"/>
    <w:rsid w:val="00024DCD"/>
    <w:rsid w:val="00033BC0"/>
    <w:rsid w:val="000608CC"/>
    <w:rsid w:val="00063376"/>
    <w:rsid w:val="00063B9E"/>
    <w:rsid w:val="00064CF3"/>
    <w:rsid w:val="00067CEB"/>
    <w:rsid w:val="00070D32"/>
    <w:rsid w:val="00076408"/>
    <w:rsid w:val="00076E18"/>
    <w:rsid w:val="00085F68"/>
    <w:rsid w:val="00094858"/>
    <w:rsid w:val="000A0FE2"/>
    <w:rsid w:val="000A1C81"/>
    <w:rsid w:val="000A3FBB"/>
    <w:rsid w:val="000A4F79"/>
    <w:rsid w:val="000A5188"/>
    <w:rsid w:val="000B32B3"/>
    <w:rsid w:val="000B76CC"/>
    <w:rsid w:val="000C1DBF"/>
    <w:rsid w:val="000C352D"/>
    <w:rsid w:val="000C3758"/>
    <w:rsid w:val="000C5CF1"/>
    <w:rsid w:val="000C5D0A"/>
    <w:rsid w:val="000C7AA1"/>
    <w:rsid w:val="000D6EB3"/>
    <w:rsid w:val="000E4CD4"/>
    <w:rsid w:val="000E6DD6"/>
    <w:rsid w:val="000F6455"/>
    <w:rsid w:val="0011454E"/>
    <w:rsid w:val="001158A0"/>
    <w:rsid w:val="001253DD"/>
    <w:rsid w:val="00142D53"/>
    <w:rsid w:val="001441FB"/>
    <w:rsid w:val="00144290"/>
    <w:rsid w:val="00151F79"/>
    <w:rsid w:val="00153C8F"/>
    <w:rsid w:val="00155182"/>
    <w:rsid w:val="00157EAC"/>
    <w:rsid w:val="001600BE"/>
    <w:rsid w:val="0016499A"/>
    <w:rsid w:val="00166E03"/>
    <w:rsid w:val="00171E36"/>
    <w:rsid w:val="00175988"/>
    <w:rsid w:val="0017621B"/>
    <w:rsid w:val="00177C7F"/>
    <w:rsid w:val="0018255C"/>
    <w:rsid w:val="0018283C"/>
    <w:rsid w:val="00186C34"/>
    <w:rsid w:val="001A28D3"/>
    <w:rsid w:val="001A297A"/>
    <w:rsid w:val="001A4867"/>
    <w:rsid w:val="001A6519"/>
    <w:rsid w:val="001A6F1D"/>
    <w:rsid w:val="001B1E27"/>
    <w:rsid w:val="001B1FFC"/>
    <w:rsid w:val="001C6037"/>
    <w:rsid w:val="001C7CA9"/>
    <w:rsid w:val="001D248A"/>
    <w:rsid w:val="001D704A"/>
    <w:rsid w:val="001E14DA"/>
    <w:rsid w:val="001E5254"/>
    <w:rsid w:val="001E591E"/>
    <w:rsid w:val="001F19D5"/>
    <w:rsid w:val="001F7DD5"/>
    <w:rsid w:val="002001B8"/>
    <w:rsid w:val="0020430C"/>
    <w:rsid w:val="00211062"/>
    <w:rsid w:val="002171BD"/>
    <w:rsid w:val="002204B0"/>
    <w:rsid w:val="00246485"/>
    <w:rsid w:val="00253B02"/>
    <w:rsid w:val="0026046B"/>
    <w:rsid w:val="00265BFC"/>
    <w:rsid w:val="002672B4"/>
    <w:rsid w:val="00267910"/>
    <w:rsid w:val="00267B27"/>
    <w:rsid w:val="00285AD6"/>
    <w:rsid w:val="0029056C"/>
    <w:rsid w:val="002A0AD7"/>
    <w:rsid w:val="002A184F"/>
    <w:rsid w:val="002A544F"/>
    <w:rsid w:val="002B0681"/>
    <w:rsid w:val="002C07FA"/>
    <w:rsid w:val="002C1D4C"/>
    <w:rsid w:val="002C5584"/>
    <w:rsid w:val="002C590A"/>
    <w:rsid w:val="002C5B9C"/>
    <w:rsid w:val="002C7102"/>
    <w:rsid w:val="002D05CD"/>
    <w:rsid w:val="002D47C9"/>
    <w:rsid w:val="002E0EFE"/>
    <w:rsid w:val="002E1CC6"/>
    <w:rsid w:val="002E392C"/>
    <w:rsid w:val="002E3C93"/>
    <w:rsid w:val="002F5DBB"/>
    <w:rsid w:val="00301997"/>
    <w:rsid w:val="003070F5"/>
    <w:rsid w:val="00307154"/>
    <w:rsid w:val="00311DFB"/>
    <w:rsid w:val="00317EC9"/>
    <w:rsid w:val="00320B26"/>
    <w:rsid w:val="003237D3"/>
    <w:rsid w:val="00330ABC"/>
    <w:rsid w:val="0033371B"/>
    <w:rsid w:val="00344857"/>
    <w:rsid w:val="00345BA9"/>
    <w:rsid w:val="003465DD"/>
    <w:rsid w:val="00350286"/>
    <w:rsid w:val="00352007"/>
    <w:rsid w:val="00370EA7"/>
    <w:rsid w:val="003934A4"/>
    <w:rsid w:val="003972AF"/>
    <w:rsid w:val="003A0966"/>
    <w:rsid w:val="003B1963"/>
    <w:rsid w:val="003C097C"/>
    <w:rsid w:val="003C7F45"/>
    <w:rsid w:val="003D64AC"/>
    <w:rsid w:val="003E2858"/>
    <w:rsid w:val="003E29E6"/>
    <w:rsid w:val="003E53E3"/>
    <w:rsid w:val="003E718D"/>
    <w:rsid w:val="003F288C"/>
    <w:rsid w:val="00404392"/>
    <w:rsid w:val="0040464E"/>
    <w:rsid w:val="00405DC4"/>
    <w:rsid w:val="00411154"/>
    <w:rsid w:val="0041493E"/>
    <w:rsid w:val="0042462C"/>
    <w:rsid w:val="00442373"/>
    <w:rsid w:val="0045733E"/>
    <w:rsid w:val="00472C91"/>
    <w:rsid w:val="0047322C"/>
    <w:rsid w:val="00473BD8"/>
    <w:rsid w:val="00481EC2"/>
    <w:rsid w:val="00487D2B"/>
    <w:rsid w:val="0049630E"/>
    <w:rsid w:val="0049797D"/>
    <w:rsid w:val="004A5B05"/>
    <w:rsid w:val="004B48D7"/>
    <w:rsid w:val="004C4E7E"/>
    <w:rsid w:val="004F5B13"/>
    <w:rsid w:val="005021CA"/>
    <w:rsid w:val="00503D46"/>
    <w:rsid w:val="00517E7D"/>
    <w:rsid w:val="00526E4A"/>
    <w:rsid w:val="0053059A"/>
    <w:rsid w:val="005309F8"/>
    <w:rsid w:val="00535676"/>
    <w:rsid w:val="0054386D"/>
    <w:rsid w:val="00546D49"/>
    <w:rsid w:val="00547B49"/>
    <w:rsid w:val="00547DC4"/>
    <w:rsid w:val="005516F8"/>
    <w:rsid w:val="005530D2"/>
    <w:rsid w:val="00553614"/>
    <w:rsid w:val="00554265"/>
    <w:rsid w:val="00554BB6"/>
    <w:rsid w:val="005730FB"/>
    <w:rsid w:val="005736CA"/>
    <w:rsid w:val="00590204"/>
    <w:rsid w:val="005928AF"/>
    <w:rsid w:val="005A2EAE"/>
    <w:rsid w:val="005B457C"/>
    <w:rsid w:val="005B6DF4"/>
    <w:rsid w:val="005D7E9B"/>
    <w:rsid w:val="005E03FC"/>
    <w:rsid w:val="005E3A0F"/>
    <w:rsid w:val="005E66F6"/>
    <w:rsid w:val="005E7A61"/>
    <w:rsid w:val="005E7EE0"/>
    <w:rsid w:val="005F0497"/>
    <w:rsid w:val="005F7645"/>
    <w:rsid w:val="005F7A44"/>
    <w:rsid w:val="00607BD9"/>
    <w:rsid w:val="00615A75"/>
    <w:rsid w:val="006171E4"/>
    <w:rsid w:val="00621EF2"/>
    <w:rsid w:val="006246A1"/>
    <w:rsid w:val="0063023F"/>
    <w:rsid w:val="0063700F"/>
    <w:rsid w:val="00651557"/>
    <w:rsid w:val="006522D7"/>
    <w:rsid w:val="0065513D"/>
    <w:rsid w:val="00655659"/>
    <w:rsid w:val="00656376"/>
    <w:rsid w:val="00682F4F"/>
    <w:rsid w:val="00682FB2"/>
    <w:rsid w:val="00683F5A"/>
    <w:rsid w:val="0068408C"/>
    <w:rsid w:val="006924D2"/>
    <w:rsid w:val="006A3F97"/>
    <w:rsid w:val="006D0840"/>
    <w:rsid w:val="006D76F7"/>
    <w:rsid w:val="006E16FE"/>
    <w:rsid w:val="006E181C"/>
    <w:rsid w:val="006E7C42"/>
    <w:rsid w:val="006F3820"/>
    <w:rsid w:val="006F4696"/>
    <w:rsid w:val="006F6DA5"/>
    <w:rsid w:val="00701DA4"/>
    <w:rsid w:val="00703FA4"/>
    <w:rsid w:val="00710259"/>
    <w:rsid w:val="00710B87"/>
    <w:rsid w:val="00714A78"/>
    <w:rsid w:val="007157FF"/>
    <w:rsid w:val="007322A6"/>
    <w:rsid w:val="00736E18"/>
    <w:rsid w:val="00742257"/>
    <w:rsid w:val="00743E7A"/>
    <w:rsid w:val="00744F3B"/>
    <w:rsid w:val="00753888"/>
    <w:rsid w:val="007564C2"/>
    <w:rsid w:val="007704D9"/>
    <w:rsid w:val="00781B78"/>
    <w:rsid w:val="00791072"/>
    <w:rsid w:val="007A4390"/>
    <w:rsid w:val="007A50B9"/>
    <w:rsid w:val="007B237A"/>
    <w:rsid w:val="007B3501"/>
    <w:rsid w:val="007B7460"/>
    <w:rsid w:val="007C29B6"/>
    <w:rsid w:val="007C57D7"/>
    <w:rsid w:val="007D125A"/>
    <w:rsid w:val="007D7D96"/>
    <w:rsid w:val="007E6A4F"/>
    <w:rsid w:val="007F4690"/>
    <w:rsid w:val="00802048"/>
    <w:rsid w:val="008079C6"/>
    <w:rsid w:val="008105FE"/>
    <w:rsid w:val="008113ED"/>
    <w:rsid w:val="0081673C"/>
    <w:rsid w:val="00822B7E"/>
    <w:rsid w:val="00826B3B"/>
    <w:rsid w:val="00832D71"/>
    <w:rsid w:val="008341D6"/>
    <w:rsid w:val="00843D12"/>
    <w:rsid w:val="00845133"/>
    <w:rsid w:val="00846F36"/>
    <w:rsid w:val="008505A9"/>
    <w:rsid w:val="00853921"/>
    <w:rsid w:val="00864A20"/>
    <w:rsid w:val="00864DDE"/>
    <w:rsid w:val="00872E75"/>
    <w:rsid w:val="00891148"/>
    <w:rsid w:val="00895333"/>
    <w:rsid w:val="00897516"/>
    <w:rsid w:val="008A7C37"/>
    <w:rsid w:val="008B205D"/>
    <w:rsid w:val="008C3BB6"/>
    <w:rsid w:val="008C6ED7"/>
    <w:rsid w:val="008D557D"/>
    <w:rsid w:val="008E28E7"/>
    <w:rsid w:val="008E3C73"/>
    <w:rsid w:val="008E4390"/>
    <w:rsid w:val="008F46A2"/>
    <w:rsid w:val="008F6EBA"/>
    <w:rsid w:val="009077FF"/>
    <w:rsid w:val="00912D8A"/>
    <w:rsid w:val="009174D5"/>
    <w:rsid w:val="00917C29"/>
    <w:rsid w:val="00927958"/>
    <w:rsid w:val="00931E18"/>
    <w:rsid w:val="00935B55"/>
    <w:rsid w:val="009430E5"/>
    <w:rsid w:val="00944125"/>
    <w:rsid w:val="0094457F"/>
    <w:rsid w:val="00954301"/>
    <w:rsid w:val="00965418"/>
    <w:rsid w:val="00971D77"/>
    <w:rsid w:val="00973142"/>
    <w:rsid w:val="0097394A"/>
    <w:rsid w:val="00975306"/>
    <w:rsid w:val="00976CF7"/>
    <w:rsid w:val="00981675"/>
    <w:rsid w:val="0098262F"/>
    <w:rsid w:val="00983CC7"/>
    <w:rsid w:val="00985345"/>
    <w:rsid w:val="00986526"/>
    <w:rsid w:val="009A5E01"/>
    <w:rsid w:val="009B0FCB"/>
    <w:rsid w:val="009B2C1A"/>
    <w:rsid w:val="009C2999"/>
    <w:rsid w:val="009C44C9"/>
    <w:rsid w:val="009D2BF2"/>
    <w:rsid w:val="009D6A87"/>
    <w:rsid w:val="009D6BB0"/>
    <w:rsid w:val="009E4C51"/>
    <w:rsid w:val="009E7CFC"/>
    <w:rsid w:val="009F1246"/>
    <w:rsid w:val="009F1B2D"/>
    <w:rsid w:val="009F735F"/>
    <w:rsid w:val="00A05F47"/>
    <w:rsid w:val="00A06C39"/>
    <w:rsid w:val="00A07E2D"/>
    <w:rsid w:val="00A160EB"/>
    <w:rsid w:val="00A1644D"/>
    <w:rsid w:val="00A172CC"/>
    <w:rsid w:val="00A24283"/>
    <w:rsid w:val="00A25CE4"/>
    <w:rsid w:val="00A31ACF"/>
    <w:rsid w:val="00A34618"/>
    <w:rsid w:val="00A347EB"/>
    <w:rsid w:val="00A414CB"/>
    <w:rsid w:val="00A4336D"/>
    <w:rsid w:val="00A45CE5"/>
    <w:rsid w:val="00A47A48"/>
    <w:rsid w:val="00A60DAF"/>
    <w:rsid w:val="00A70914"/>
    <w:rsid w:val="00A80C69"/>
    <w:rsid w:val="00A8315C"/>
    <w:rsid w:val="00A94220"/>
    <w:rsid w:val="00A95F67"/>
    <w:rsid w:val="00AA4FEC"/>
    <w:rsid w:val="00AA5F79"/>
    <w:rsid w:val="00AA626F"/>
    <w:rsid w:val="00AB0059"/>
    <w:rsid w:val="00AB09A1"/>
    <w:rsid w:val="00AB1097"/>
    <w:rsid w:val="00AB5909"/>
    <w:rsid w:val="00AB5A78"/>
    <w:rsid w:val="00AC274D"/>
    <w:rsid w:val="00AD06EA"/>
    <w:rsid w:val="00AD5FAA"/>
    <w:rsid w:val="00AF1B25"/>
    <w:rsid w:val="00AF243F"/>
    <w:rsid w:val="00B05B81"/>
    <w:rsid w:val="00B13E85"/>
    <w:rsid w:val="00B15092"/>
    <w:rsid w:val="00B16B5E"/>
    <w:rsid w:val="00B201B2"/>
    <w:rsid w:val="00B20ADB"/>
    <w:rsid w:val="00B20E38"/>
    <w:rsid w:val="00B273A5"/>
    <w:rsid w:val="00B31432"/>
    <w:rsid w:val="00B324EE"/>
    <w:rsid w:val="00B37F20"/>
    <w:rsid w:val="00B40173"/>
    <w:rsid w:val="00B41618"/>
    <w:rsid w:val="00B512F9"/>
    <w:rsid w:val="00B52800"/>
    <w:rsid w:val="00B650AE"/>
    <w:rsid w:val="00B80BFE"/>
    <w:rsid w:val="00B82E65"/>
    <w:rsid w:val="00B84733"/>
    <w:rsid w:val="00B85E2E"/>
    <w:rsid w:val="00B9061D"/>
    <w:rsid w:val="00BA06D9"/>
    <w:rsid w:val="00BA30AA"/>
    <w:rsid w:val="00BA5DA3"/>
    <w:rsid w:val="00BA6D20"/>
    <w:rsid w:val="00BB41FD"/>
    <w:rsid w:val="00BB43A2"/>
    <w:rsid w:val="00BB631A"/>
    <w:rsid w:val="00BC79B6"/>
    <w:rsid w:val="00BE5C3A"/>
    <w:rsid w:val="00C05A16"/>
    <w:rsid w:val="00C13037"/>
    <w:rsid w:val="00C15CBB"/>
    <w:rsid w:val="00C1609B"/>
    <w:rsid w:val="00C22D26"/>
    <w:rsid w:val="00C26ADD"/>
    <w:rsid w:val="00C35765"/>
    <w:rsid w:val="00C403FD"/>
    <w:rsid w:val="00C4081D"/>
    <w:rsid w:val="00C43371"/>
    <w:rsid w:val="00C474B6"/>
    <w:rsid w:val="00C7015A"/>
    <w:rsid w:val="00C70DE3"/>
    <w:rsid w:val="00C731F6"/>
    <w:rsid w:val="00C753F6"/>
    <w:rsid w:val="00C8457F"/>
    <w:rsid w:val="00C8496E"/>
    <w:rsid w:val="00C85555"/>
    <w:rsid w:val="00C92E46"/>
    <w:rsid w:val="00C943A3"/>
    <w:rsid w:val="00CB1438"/>
    <w:rsid w:val="00CB59F7"/>
    <w:rsid w:val="00CC7BCD"/>
    <w:rsid w:val="00CD4624"/>
    <w:rsid w:val="00CE1BB0"/>
    <w:rsid w:val="00CE2EA4"/>
    <w:rsid w:val="00CE4010"/>
    <w:rsid w:val="00CE4201"/>
    <w:rsid w:val="00CE42BF"/>
    <w:rsid w:val="00CF12F3"/>
    <w:rsid w:val="00CF1F23"/>
    <w:rsid w:val="00CF63B0"/>
    <w:rsid w:val="00CF74CA"/>
    <w:rsid w:val="00D025F5"/>
    <w:rsid w:val="00D03DAA"/>
    <w:rsid w:val="00D10872"/>
    <w:rsid w:val="00D17332"/>
    <w:rsid w:val="00D20AAC"/>
    <w:rsid w:val="00D225BC"/>
    <w:rsid w:val="00D24D0F"/>
    <w:rsid w:val="00D279D6"/>
    <w:rsid w:val="00D345F4"/>
    <w:rsid w:val="00D36824"/>
    <w:rsid w:val="00D52676"/>
    <w:rsid w:val="00D53F66"/>
    <w:rsid w:val="00D55C10"/>
    <w:rsid w:val="00D62795"/>
    <w:rsid w:val="00D70414"/>
    <w:rsid w:val="00D712EB"/>
    <w:rsid w:val="00DA05DF"/>
    <w:rsid w:val="00DA1E0D"/>
    <w:rsid w:val="00DA1FFD"/>
    <w:rsid w:val="00DA245E"/>
    <w:rsid w:val="00DA69A8"/>
    <w:rsid w:val="00DA78F0"/>
    <w:rsid w:val="00DB2342"/>
    <w:rsid w:val="00DC6F40"/>
    <w:rsid w:val="00DD163C"/>
    <w:rsid w:val="00DD3B70"/>
    <w:rsid w:val="00DD7D35"/>
    <w:rsid w:val="00DF04BA"/>
    <w:rsid w:val="00DF15DF"/>
    <w:rsid w:val="00E077F9"/>
    <w:rsid w:val="00E10310"/>
    <w:rsid w:val="00E13A60"/>
    <w:rsid w:val="00E1486B"/>
    <w:rsid w:val="00E168B2"/>
    <w:rsid w:val="00E22B0C"/>
    <w:rsid w:val="00E26FE5"/>
    <w:rsid w:val="00E30025"/>
    <w:rsid w:val="00E316E2"/>
    <w:rsid w:val="00E34CE4"/>
    <w:rsid w:val="00E35FC6"/>
    <w:rsid w:val="00E46A79"/>
    <w:rsid w:val="00E47998"/>
    <w:rsid w:val="00E60F37"/>
    <w:rsid w:val="00E634D4"/>
    <w:rsid w:val="00E65698"/>
    <w:rsid w:val="00E72A18"/>
    <w:rsid w:val="00E76041"/>
    <w:rsid w:val="00E81192"/>
    <w:rsid w:val="00E831CF"/>
    <w:rsid w:val="00E90EB1"/>
    <w:rsid w:val="00E94734"/>
    <w:rsid w:val="00EA1516"/>
    <w:rsid w:val="00EA59C6"/>
    <w:rsid w:val="00EA7250"/>
    <w:rsid w:val="00EB1D45"/>
    <w:rsid w:val="00EB290B"/>
    <w:rsid w:val="00EC0E16"/>
    <w:rsid w:val="00EC2B45"/>
    <w:rsid w:val="00EC2F75"/>
    <w:rsid w:val="00ED5C43"/>
    <w:rsid w:val="00ED6751"/>
    <w:rsid w:val="00EE2056"/>
    <w:rsid w:val="00EF3BAF"/>
    <w:rsid w:val="00EF7CD5"/>
    <w:rsid w:val="00F11266"/>
    <w:rsid w:val="00F128B5"/>
    <w:rsid w:val="00F23575"/>
    <w:rsid w:val="00F3185B"/>
    <w:rsid w:val="00F329F4"/>
    <w:rsid w:val="00F32D64"/>
    <w:rsid w:val="00F373DC"/>
    <w:rsid w:val="00F377D6"/>
    <w:rsid w:val="00F40BD0"/>
    <w:rsid w:val="00F40D9C"/>
    <w:rsid w:val="00F42187"/>
    <w:rsid w:val="00F42C5E"/>
    <w:rsid w:val="00F454D9"/>
    <w:rsid w:val="00F65C08"/>
    <w:rsid w:val="00F67181"/>
    <w:rsid w:val="00F67781"/>
    <w:rsid w:val="00F80A2D"/>
    <w:rsid w:val="00F80D2C"/>
    <w:rsid w:val="00F866F3"/>
    <w:rsid w:val="00F86FA9"/>
    <w:rsid w:val="00F9102F"/>
    <w:rsid w:val="00F94143"/>
    <w:rsid w:val="00FA0C80"/>
    <w:rsid w:val="00FB4009"/>
    <w:rsid w:val="00FC172D"/>
    <w:rsid w:val="00FC71E4"/>
    <w:rsid w:val="00FD0B33"/>
    <w:rsid w:val="00FD0BD9"/>
    <w:rsid w:val="00FD4B9B"/>
    <w:rsid w:val="00FE098C"/>
    <w:rsid w:val="00FE1D4D"/>
    <w:rsid w:val="00FE738A"/>
    <w:rsid w:val="00FF13E3"/>
    <w:rsid w:val="00FF17FB"/>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93F5"/>
  <w15:docId w15:val="{FDD7DB48-6973-4CC1-A1C3-797CFCEE3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 w:type="character" w:styleId="Hipercze">
    <w:name w:val="Hyperlink"/>
    <w:basedOn w:val="Domylnaczcionkaakapitu"/>
    <w:uiPriority w:val="99"/>
    <w:semiHidden/>
    <w:unhideWhenUsed/>
    <w:rsid w:val="00D025F5"/>
    <w:rPr>
      <w:color w:val="0000FF"/>
      <w:u w:val="single"/>
    </w:rPr>
  </w:style>
  <w:style w:type="character" w:styleId="UyteHipercze">
    <w:name w:val="FollowedHyperlink"/>
    <w:basedOn w:val="Domylnaczcionkaakapitu"/>
    <w:uiPriority w:val="99"/>
    <w:semiHidden/>
    <w:unhideWhenUsed/>
    <w:rsid w:val="00D025F5"/>
    <w:rPr>
      <w:color w:val="800080"/>
      <w:u w:val="single"/>
    </w:rPr>
  </w:style>
  <w:style w:type="paragraph" w:customStyle="1" w:styleId="xl63">
    <w:name w:val="xl63"/>
    <w:basedOn w:val="Normalny"/>
    <w:rsid w:val="00D025F5"/>
    <w:pPr>
      <w:spacing w:before="100" w:beforeAutospacing="1" w:after="100" w:afterAutospacing="1" w:line="240" w:lineRule="auto"/>
    </w:pPr>
    <w:rPr>
      <w:rFonts w:eastAsia="Times New Roman"/>
      <w:sz w:val="24"/>
      <w:szCs w:val="24"/>
      <w:lang w:eastAsia="pl-PL"/>
    </w:rPr>
  </w:style>
  <w:style w:type="paragraph" w:customStyle="1" w:styleId="xl64">
    <w:name w:val="xl64"/>
    <w:basedOn w:val="Normalny"/>
    <w:rsid w:val="00D025F5"/>
    <w:pPr>
      <w:spacing w:before="100" w:beforeAutospacing="1" w:after="100" w:afterAutospacing="1" w:line="240" w:lineRule="auto"/>
      <w:jc w:val="center"/>
    </w:pPr>
    <w:rPr>
      <w:rFonts w:eastAsia="Times New Roman"/>
      <w:sz w:val="24"/>
      <w:szCs w:val="24"/>
      <w:lang w:eastAsia="pl-PL"/>
    </w:rPr>
  </w:style>
  <w:style w:type="paragraph" w:customStyle="1" w:styleId="xl65">
    <w:name w:val="xl65"/>
    <w:basedOn w:val="Normalny"/>
    <w:rsid w:val="00D025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66">
    <w:name w:val="xl66"/>
    <w:basedOn w:val="Normalny"/>
    <w:rsid w:val="00D025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lang w:eastAsia="pl-PL"/>
    </w:rPr>
  </w:style>
  <w:style w:type="paragraph" w:customStyle="1" w:styleId="xl67">
    <w:name w:val="xl67"/>
    <w:basedOn w:val="Normalny"/>
    <w:rsid w:val="00D025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lang w:eastAsia="pl-PL"/>
    </w:rPr>
  </w:style>
  <w:style w:type="paragraph" w:customStyle="1" w:styleId="xl68">
    <w:name w:val="xl68"/>
    <w:basedOn w:val="Normalny"/>
    <w:rsid w:val="00D025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i/>
      <w:iCs/>
      <w:sz w:val="24"/>
      <w:szCs w:val="24"/>
      <w:lang w:eastAsia="pl-PL"/>
    </w:rPr>
  </w:style>
  <w:style w:type="paragraph" w:customStyle="1" w:styleId="xl69">
    <w:name w:val="xl69"/>
    <w:basedOn w:val="Normalny"/>
    <w:rsid w:val="00D025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70">
    <w:name w:val="xl70"/>
    <w:basedOn w:val="Normalny"/>
    <w:rsid w:val="00D025F5"/>
    <w:pPr>
      <w:spacing w:before="100" w:beforeAutospacing="1" w:after="100" w:afterAutospacing="1" w:line="240" w:lineRule="auto"/>
    </w:pPr>
    <w:rPr>
      <w:rFonts w:eastAsia="Times New Roman"/>
      <w:sz w:val="24"/>
      <w:szCs w:val="24"/>
      <w:lang w:eastAsia="pl-PL"/>
    </w:rPr>
  </w:style>
  <w:style w:type="table" w:styleId="Tabela-Siatka">
    <w:name w:val="Table Grid"/>
    <w:basedOn w:val="Standardowy"/>
    <w:uiPriority w:val="59"/>
    <w:rsid w:val="00AF1B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8F6EBA"/>
    <w:pPr>
      <w:spacing w:after="120"/>
    </w:pPr>
    <w:rPr>
      <w:sz w:val="16"/>
      <w:szCs w:val="16"/>
    </w:rPr>
  </w:style>
  <w:style w:type="character" w:customStyle="1" w:styleId="Tekstpodstawowy3Znak">
    <w:name w:val="Tekst podstawowy 3 Znak"/>
    <w:basedOn w:val="Domylnaczcionkaakapitu"/>
    <w:link w:val="Tekstpodstawowy3"/>
    <w:uiPriority w:val="99"/>
    <w:semiHidden/>
    <w:rsid w:val="008F6EB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1773">
      <w:bodyDiv w:val="1"/>
      <w:marLeft w:val="0"/>
      <w:marRight w:val="0"/>
      <w:marTop w:val="0"/>
      <w:marBottom w:val="0"/>
      <w:divBdr>
        <w:top w:val="none" w:sz="0" w:space="0" w:color="auto"/>
        <w:left w:val="none" w:sz="0" w:space="0" w:color="auto"/>
        <w:bottom w:val="none" w:sz="0" w:space="0" w:color="auto"/>
        <w:right w:val="none" w:sz="0" w:space="0" w:color="auto"/>
      </w:divBdr>
    </w:div>
    <w:div w:id="70785345">
      <w:bodyDiv w:val="1"/>
      <w:marLeft w:val="0"/>
      <w:marRight w:val="0"/>
      <w:marTop w:val="0"/>
      <w:marBottom w:val="0"/>
      <w:divBdr>
        <w:top w:val="none" w:sz="0" w:space="0" w:color="auto"/>
        <w:left w:val="none" w:sz="0" w:space="0" w:color="auto"/>
        <w:bottom w:val="none" w:sz="0" w:space="0" w:color="auto"/>
        <w:right w:val="none" w:sz="0" w:space="0" w:color="auto"/>
      </w:divBdr>
    </w:div>
    <w:div w:id="134375334">
      <w:bodyDiv w:val="1"/>
      <w:marLeft w:val="0"/>
      <w:marRight w:val="0"/>
      <w:marTop w:val="0"/>
      <w:marBottom w:val="0"/>
      <w:divBdr>
        <w:top w:val="none" w:sz="0" w:space="0" w:color="auto"/>
        <w:left w:val="none" w:sz="0" w:space="0" w:color="auto"/>
        <w:bottom w:val="none" w:sz="0" w:space="0" w:color="auto"/>
        <w:right w:val="none" w:sz="0" w:space="0" w:color="auto"/>
      </w:divBdr>
    </w:div>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213855995">
      <w:bodyDiv w:val="1"/>
      <w:marLeft w:val="0"/>
      <w:marRight w:val="0"/>
      <w:marTop w:val="0"/>
      <w:marBottom w:val="0"/>
      <w:divBdr>
        <w:top w:val="none" w:sz="0" w:space="0" w:color="auto"/>
        <w:left w:val="none" w:sz="0" w:space="0" w:color="auto"/>
        <w:bottom w:val="none" w:sz="0" w:space="0" w:color="auto"/>
        <w:right w:val="none" w:sz="0" w:space="0" w:color="auto"/>
      </w:divBdr>
    </w:div>
    <w:div w:id="224489902">
      <w:bodyDiv w:val="1"/>
      <w:marLeft w:val="0"/>
      <w:marRight w:val="0"/>
      <w:marTop w:val="0"/>
      <w:marBottom w:val="0"/>
      <w:divBdr>
        <w:top w:val="none" w:sz="0" w:space="0" w:color="auto"/>
        <w:left w:val="none" w:sz="0" w:space="0" w:color="auto"/>
        <w:bottom w:val="none" w:sz="0" w:space="0" w:color="auto"/>
        <w:right w:val="none" w:sz="0" w:space="0" w:color="auto"/>
      </w:divBdr>
    </w:div>
    <w:div w:id="282271869">
      <w:bodyDiv w:val="1"/>
      <w:marLeft w:val="0"/>
      <w:marRight w:val="0"/>
      <w:marTop w:val="0"/>
      <w:marBottom w:val="0"/>
      <w:divBdr>
        <w:top w:val="none" w:sz="0" w:space="0" w:color="auto"/>
        <w:left w:val="none" w:sz="0" w:space="0" w:color="auto"/>
        <w:bottom w:val="none" w:sz="0" w:space="0" w:color="auto"/>
        <w:right w:val="none" w:sz="0" w:space="0" w:color="auto"/>
      </w:divBdr>
    </w:div>
    <w:div w:id="296301470">
      <w:bodyDiv w:val="1"/>
      <w:marLeft w:val="0"/>
      <w:marRight w:val="0"/>
      <w:marTop w:val="0"/>
      <w:marBottom w:val="0"/>
      <w:divBdr>
        <w:top w:val="none" w:sz="0" w:space="0" w:color="auto"/>
        <w:left w:val="none" w:sz="0" w:space="0" w:color="auto"/>
        <w:bottom w:val="none" w:sz="0" w:space="0" w:color="auto"/>
        <w:right w:val="none" w:sz="0" w:space="0" w:color="auto"/>
      </w:divBdr>
    </w:div>
    <w:div w:id="302734746">
      <w:bodyDiv w:val="1"/>
      <w:marLeft w:val="0"/>
      <w:marRight w:val="0"/>
      <w:marTop w:val="0"/>
      <w:marBottom w:val="0"/>
      <w:divBdr>
        <w:top w:val="none" w:sz="0" w:space="0" w:color="auto"/>
        <w:left w:val="none" w:sz="0" w:space="0" w:color="auto"/>
        <w:bottom w:val="none" w:sz="0" w:space="0" w:color="auto"/>
        <w:right w:val="none" w:sz="0" w:space="0" w:color="auto"/>
      </w:divBdr>
    </w:div>
    <w:div w:id="307704900">
      <w:bodyDiv w:val="1"/>
      <w:marLeft w:val="0"/>
      <w:marRight w:val="0"/>
      <w:marTop w:val="0"/>
      <w:marBottom w:val="0"/>
      <w:divBdr>
        <w:top w:val="none" w:sz="0" w:space="0" w:color="auto"/>
        <w:left w:val="none" w:sz="0" w:space="0" w:color="auto"/>
        <w:bottom w:val="none" w:sz="0" w:space="0" w:color="auto"/>
        <w:right w:val="none" w:sz="0" w:space="0" w:color="auto"/>
      </w:divBdr>
    </w:div>
    <w:div w:id="347945690">
      <w:bodyDiv w:val="1"/>
      <w:marLeft w:val="0"/>
      <w:marRight w:val="0"/>
      <w:marTop w:val="0"/>
      <w:marBottom w:val="0"/>
      <w:divBdr>
        <w:top w:val="none" w:sz="0" w:space="0" w:color="auto"/>
        <w:left w:val="none" w:sz="0" w:space="0" w:color="auto"/>
        <w:bottom w:val="none" w:sz="0" w:space="0" w:color="auto"/>
        <w:right w:val="none" w:sz="0" w:space="0" w:color="auto"/>
      </w:divBdr>
    </w:div>
    <w:div w:id="356466799">
      <w:bodyDiv w:val="1"/>
      <w:marLeft w:val="0"/>
      <w:marRight w:val="0"/>
      <w:marTop w:val="0"/>
      <w:marBottom w:val="0"/>
      <w:divBdr>
        <w:top w:val="none" w:sz="0" w:space="0" w:color="auto"/>
        <w:left w:val="none" w:sz="0" w:space="0" w:color="auto"/>
        <w:bottom w:val="none" w:sz="0" w:space="0" w:color="auto"/>
        <w:right w:val="none" w:sz="0" w:space="0" w:color="auto"/>
      </w:divBdr>
    </w:div>
    <w:div w:id="380058475">
      <w:bodyDiv w:val="1"/>
      <w:marLeft w:val="0"/>
      <w:marRight w:val="0"/>
      <w:marTop w:val="0"/>
      <w:marBottom w:val="0"/>
      <w:divBdr>
        <w:top w:val="none" w:sz="0" w:space="0" w:color="auto"/>
        <w:left w:val="none" w:sz="0" w:space="0" w:color="auto"/>
        <w:bottom w:val="none" w:sz="0" w:space="0" w:color="auto"/>
        <w:right w:val="none" w:sz="0" w:space="0" w:color="auto"/>
      </w:divBdr>
    </w:div>
    <w:div w:id="417334291">
      <w:bodyDiv w:val="1"/>
      <w:marLeft w:val="0"/>
      <w:marRight w:val="0"/>
      <w:marTop w:val="0"/>
      <w:marBottom w:val="0"/>
      <w:divBdr>
        <w:top w:val="none" w:sz="0" w:space="0" w:color="auto"/>
        <w:left w:val="none" w:sz="0" w:space="0" w:color="auto"/>
        <w:bottom w:val="none" w:sz="0" w:space="0" w:color="auto"/>
        <w:right w:val="none" w:sz="0" w:space="0" w:color="auto"/>
      </w:divBdr>
    </w:div>
    <w:div w:id="434525270">
      <w:bodyDiv w:val="1"/>
      <w:marLeft w:val="0"/>
      <w:marRight w:val="0"/>
      <w:marTop w:val="0"/>
      <w:marBottom w:val="0"/>
      <w:divBdr>
        <w:top w:val="none" w:sz="0" w:space="0" w:color="auto"/>
        <w:left w:val="none" w:sz="0" w:space="0" w:color="auto"/>
        <w:bottom w:val="none" w:sz="0" w:space="0" w:color="auto"/>
        <w:right w:val="none" w:sz="0" w:space="0" w:color="auto"/>
      </w:divBdr>
    </w:div>
    <w:div w:id="502358857">
      <w:bodyDiv w:val="1"/>
      <w:marLeft w:val="0"/>
      <w:marRight w:val="0"/>
      <w:marTop w:val="0"/>
      <w:marBottom w:val="0"/>
      <w:divBdr>
        <w:top w:val="none" w:sz="0" w:space="0" w:color="auto"/>
        <w:left w:val="none" w:sz="0" w:space="0" w:color="auto"/>
        <w:bottom w:val="none" w:sz="0" w:space="0" w:color="auto"/>
        <w:right w:val="none" w:sz="0" w:space="0" w:color="auto"/>
      </w:divBdr>
    </w:div>
    <w:div w:id="530993134">
      <w:bodyDiv w:val="1"/>
      <w:marLeft w:val="0"/>
      <w:marRight w:val="0"/>
      <w:marTop w:val="0"/>
      <w:marBottom w:val="0"/>
      <w:divBdr>
        <w:top w:val="none" w:sz="0" w:space="0" w:color="auto"/>
        <w:left w:val="none" w:sz="0" w:space="0" w:color="auto"/>
        <w:bottom w:val="none" w:sz="0" w:space="0" w:color="auto"/>
        <w:right w:val="none" w:sz="0" w:space="0" w:color="auto"/>
      </w:divBdr>
    </w:div>
    <w:div w:id="573900024">
      <w:bodyDiv w:val="1"/>
      <w:marLeft w:val="0"/>
      <w:marRight w:val="0"/>
      <w:marTop w:val="0"/>
      <w:marBottom w:val="0"/>
      <w:divBdr>
        <w:top w:val="none" w:sz="0" w:space="0" w:color="auto"/>
        <w:left w:val="none" w:sz="0" w:space="0" w:color="auto"/>
        <w:bottom w:val="none" w:sz="0" w:space="0" w:color="auto"/>
        <w:right w:val="none" w:sz="0" w:space="0" w:color="auto"/>
      </w:divBdr>
    </w:div>
    <w:div w:id="606424601">
      <w:bodyDiv w:val="1"/>
      <w:marLeft w:val="0"/>
      <w:marRight w:val="0"/>
      <w:marTop w:val="0"/>
      <w:marBottom w:val="0"/>
      <w:divBdr>
        <w:top w:val="none" w:sz="0" w:space="0" w:color="auto"/>
        <w:left w:val="none" w:sz="0" w:space="0" w:color="auto"/>
        <w:bottom w:val="none" w:sz="0" w:space="0" w:color="auto"/>
        <w:right w:val="none" w:sz="0" w:space="0" w:color="auto"/>
      </w:divBdr>
    </w:div>
    <w:div w:id="652414083">
      <w:bodyDiv w:val="1"/>
      <w:marLeft w:val="0"/>
      <w:marRight w:val="0"/>
      <w:marTop w:val="0"/>
      <w:marBottom w:val="0"/>
      <w:divBdr>
        <w:top w:val="none" w:sz="0" w:space="0" w:color="auto"/>
        <w:left w:val="none" w:sz="0" w:space="0" w:color="auto"/>
        <w:bottom w:val="none" w:sz="0" w:space="0" w:color="auto"/>
        <w:right w:val="none" w:sz="0" w:space="0" w:color="auto"/>
      </w:divBdr>
    </w:div>
    <w:div w:id="665548640">
      <w:bodyDiv w:val="1"/>
      <w:marLeft w:val="0"/>
      <w:marRight w:val="0"/>
      <w:marTop w:val="0"/>
      <w:marBottom w:val="0"/>
      <w:divBdr>
        <w:top w:val="none" w:sz="0" w:space="0" w:color="auto"/>
        <w:left w:val="none" w:sz="0" w:space="0" w:color="auto"/>
        <w:bottom w:val="none" w:sz="0" w:space="0" w:color="auto"/>
        <w:right w:val="none" w:sz="0" w:space="0" w:color="auto"/>
      </w:divBdr>
    </w:div>
    <w:div w:id="687677286">
      <w:bodyDiv w:val="1"/>
      <w:marLeft w:val="0"/>
      <w:marRight w:val="0"/>
      <w:marTop w:val="0"/>
      <w:marBottom w:val="0"/>
      <w:divBdr>
        <w:top w:val="none" w:sz="0" w:space="0" w:color="auto"/>
        <w:left w:val="none" w:sz="0" w:space="0" w:color="auto"/>
        <w:bottom w:val="none" w:sz="0" w:space="0" w:color="auto"/>
        <w:right w:val="none" w:sz="0" w:space="0" w:color="auto"/>
      </w:divBdr>
    </w:div>
    <w:div w:id="834225044">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44051180">
      <w:bodyDiv w:val="1"/>
      <w:marLeft w:val="0"/>
      <w:marRight w:val="0"/>
      <w:marTop w:val="0"/>
      <w:marBottom w:val="0"/>
      <w:divBdr>
        <w:top w:val="none" w:sz="0" w:space="0" w:color="auto"/>
        <w:left w:val="none" w:sz="0" w:space="0" w:color="auto"/>
        <w:bottom w:val="none" w:sz="0" w:space="0" w:color="auto"/>
        <w:right w:val="none" w:sz="0" w:space="0" w:color="auto"/>
      </w:divBdr>
    </w:div>
    <w:div w:id="851645501">
      <w:bodyDiv w:val="1"/>
      <w:marLeft w:val="0"/>
      <w:marRight w:val="0"/>
      <w:marTop w:val="0"/>
      <w:marBottom w:val="0"/>
      <w:divBdr>
        <w:top w:val="none" w:sz="0" w:space="0" w:color="auto"/>
        <w:left w:val="none" w:sz="0" w:space="0" w:color="auto"/>
        <w:bottom w:val="none" w:sz="0" w:space="0" w:color="auto"/>
        <w:right w:val="none" w:sz="0" w:space="0" w:color="auto"/>
      </w:divBdr>
    </w:div>
    <w:div w:id="867565847">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929194170">
      <w:bodyDiv w:val="1"/>
      <w:marLeft w:val="0"/>
      <w:marRight w:val="0"/>
      <w:marTop w:val="0"/>
      <w:marBottom w:val="0"/>
      <w:divBdr>
        <w:top w:val="none" w:sz="0" w:space="0" w:color="auto"/>
        <w:left w:val="none" w:sz="0" w:space="0" w:color="auto"/>
        <w:bottom w:val="none" w:sz="0" w:space="0" w:color="auto"/>
        <w:right w:val="none" w:sz="0" w:space="0" w:color="auto"/>
      </w:divBdr>
    </w:div>
    <w:div w:id="953439457">
      <w:bodyDiv w:val="1"/>
      <w:marLeft w:val="0"/>
      <w:marRight w:val="0"/>
      <w:marTop w:val="0"/>
      <w:marBottom w:val="0"/>
      <w:divBdr>
        <w:top w:val="none" w:sz="0" w:space="0" w:color="auto"/>
        <w:left w:val="none" w:sz="0" w:space="0" w:color="auto"/>
        <w:bottom w:val="none" w:sz="0" w:space="0" w:color="auto"/>
        <w:right w:val="none" w:sz="0" w:space="0" w:color="auto"/>
      </w:divBdr>
    </w:div>
    <w:div w:id="956988586">
      <w:bodyDiv w:val="1"/>
      <w:marLeft w:val="0"/>
      <w:marRight w:val="0"/>
      <w:marTop w:val="0"/>
      <w:marBottom w:val="0"/>
      <w:divBdr>
        <w:top w:val="none" w:sz="0" w:space="0" w:color="auto"/>
        <w:left w:val="none" w:sz="0" w:space="0" w:color="auto"/>
        <w:bottom w:val="none" w:sz="0" w:space="0" w:color="auto"/>
        <w:right w:val="none" w:sz="0" w:space="0" w:color="auto"/>
      </w:divBdr>
    </w:div>
    <w:div w:id="993340282">
      <w:bodyDiv w:val="1"/>
      <w:marLeft w:val="0"/>
      <w:marRight w:val="0"/>
      <w:marTop w:val="0"/>
      <w:marBottom w:val="0"/>
      <w:divBdr>
        <w:top w:val="none" w:sz="0" w:space="0" w:color="auto"/>
        <w:left w:val="none" w:sz="0" w:space="0" w:color="auto"/>
        <w:bottom w:val="none" w:sz="0" w:space="0" w:color="auto"/>
        <w:right w:val="none" w:sz="0" w:space="0" w:color="auto"/>
      </w:divBdr>
    </w:div>
    <w:div w:id="1060590812">
      <w:bodyDiv w:val="1"/>
      <w:marLeft w:val="0"/>
      <w:marRight w:val="0"/>
      <w:marTop w:val="0"/>
      <w:marBottom w:val="0"/>
      <w:divBdr>
        <w:top w:val="none" w:sz="0" w:space="0" w:color="auto"/>
        <w:left w:val="none" w:sz="0" w:space="0" w:color="auto"/>
        <w:bottom w:val="none" w:sz="0" w:space="0" w:color="auto"/>
        <w:right w:val="none" w:sz="0" w:space="0" w:color="auto"/>
      </w:divBdr>
    </w:div>
    <w:div w:id="1148790198">
      <w:bodyDiv w:val="1"/>
      <w:marLeft w:val="0"/>
      <w:marRight w:val="0"/>
      <w:marTop w:val="0"/>
      <w:marBottom w:val="0"/>
      <w:divBdr>
        <w:top w:val="none" w:sz="0" w:space="0" w:color="auto"/>
        <w:left w:val="none" w:sz="0" w:space="0" w:color="auto"/>
        <w:bottom w:val="none" w:sz="0" w:space="0" w:color="auto"/>
        <w:right w:val="none" w:sz="0" w:space="0" w:color="auto"/>
      </w:divBdr>
    </w:div>
    <w:div w:id="1287741074">
      <w:bodyDiv w:val="1"/>
      <w:marLeft w:val="0"/>
      <w:marRight w:val="0"/>
      <w:marTop w:val="0"/>
      <w:marBottom w:val="0"/>
      <w:divBdr>
        <w:top w:val="none" w:sz="0" w:space="0" w:color="auto"/>
        <w:left w:val="none" w:sz="0" w:space="0" w:color="auto"/>
        <w:bottom w:val="none" w:sz="0" w:space="0" w:color="auto"/>
        <w:right w:val="none" w:sz="0" w:space="0" w:color="auto"/>
      </w:divBdr>
    </w:div>
    <w:div w:id="1295142368">
      <w:bodyDiv w:val="1"/>
      <w:marLeft w:val="0"/>
      <w:marRight w:val="0"/>
      <w:marTop w:val="0"/>
      <w:marBottom w:val="0"/>
      <w:divBdr>
        <w:top w:val="none" w:sz="0" w:space="0" w:color="auto"/>
        <w:left w:val="none" w:sz="0" w:space="0" w:color="auto"/>
        <w:bottom w:val="none" w:sz="0" w:space="0" w:color="auto"/>
        <w:right w:val="none" w:sz="0" w:space="0" w:color="auto"/>
      </w:divBdr>
    </w:div>
    <w:div w:id="1349333513">
      <w:bodyDiv w:val="1"/>
      <w:marLeft w:val="0"/>
      <w:marRight w:val="0"/>
      <w:marTop w:val="0"/>
      <w:marBottom w:val="0"/>
      <w:divBdr>
        <w:top w:val="none" w:sz="0" w:space="0" w:color="auto"/>
        <w:left w:val="none" w:sz="0" w:space="0" w:color="auto"/>
        <w:bottom w:val="none" w:sz="0" w:space="0" w:color="auto"/>
        <w:right w:val="none" w:sz="0" w:space="0" w:color="auto"/>
      </w:divBdr>
    </w:div>
    <w:div w:id="1353921835">
      <w:bodyDiv w:val="1"/>
      <w:marLeft w:val="0"/>
      <w:marRight w:val="0"/>
      <w:marTop w:val="0"/>
      <w:marBottom w:val="0"/>
      <w:divBdr>
        <w:top w:val="none" w:sz="0" w:space="0" w:color="auto"/>
        <w:left w:val="none" w:sz="0" w:space="0" w:color="auto"/>
        <w:bottom w:val="none" w:sz="0" w:space="0" w:color="auto"/>
        <w:right w:val="none" w:sz="0" w:space="0" w:color="auto"/>
      </w:divBdr>
    </w:div>
    <w:div w:id="1452825987">
      <w:bodyDiv w:val="1"/>
      <w:marLeft w:val="0"/>
      <w:marRight w:val="0"/>
      <w:marTop w:val="0"/>
      <w:marBottom w:val="0"/>
      <w:divBdr>
        <w:top w:val="none" w:sz="0" w:space="0" w:color="auto"/>
        <w:left w:val="none" w:sz="0" w:space="0" w:color="auto"/>
        <w:bottom w:val="none" w:sz="0" w:space="0" w:color="auto"/>
        <w:right w:val="none" w:sz="0" w:space="0" w:color="auto"/>
      </w:divBdr>
    </w:div>
    <w:div w:id="1493763234">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1732732882">
      <w:bodyDiv w:val="1"/>
      <w:marLeft w:val="0"/>
      <w:marRight w:val="0"/>
      <w:marTop w:val="0"/>
      <w:marBottom w:val="0"/>
      <w:divBdr>
        <w:top w:val="none" w:sz="0" w:space="0" w:color="auto"/>
        <w:left w:val="none" w:sz="0" w:space="0" w:color="auto"/>
        <w:bottom w:val="none" w:sz="0" w:space="0" w:color="auto"/>
        <w:right w:val="none" w:sz="0" w:space="0" w:color="auto"/>
      </w:divBdr>
    </w:div>
    <w:div w:id="1784491286">
      <w:bodyDiv w:val="1"/>
      <w:marLeft w:val="0"/>
      <w:marRight w:val="0"/>
      <w:marTop w:val="0"/>
      <w:marBottom w:val="0"/>
      <w:divBdr>
        <w:top w:val="none" w:sz="0" w:space="0" w:color="auto"/>
        <w:left w:val="none" w:sz="0" w:space="0" w:color="auto"/>
        <w:bottom w:val="none" w:sz="0" w:space="0" w:color="auto"/>
        <w:right w:val="none" w:sz="0" w:space="0" w:color="auto"/>
      </w:divBdr>
    </w:div>
    <w:div w:id="1795096656">
      <w:bodyDiv w:val="1"/>
      <w:marLeft w:val="0"/>
      <w:marRight w:val="0"/>
      <w:marTop w:val="0"/>
      <w:marBottom w:val="0"/>
      <w:divBdr>
        <w:top w:val="none" w:sz="0" w:space="0" w:color="auto"/>
        <w:left w:val="none" w:sz="0" w:space="0" w:color="auto"/>
        <w:bottom w:val="none" w:sz="0" w:space="0" w:color="auto"/>
        <w:right w:val="none" w:sz="0" w:space="0" w:color="auto"/>
      </w:divBdr>
    </w:div>
    <w:div w:id="1811626262">
      <w:bodyDiv w:val="1"/>
      <w:marLeft w:val="0"/>
      <w:marRight w:val="0"/>
      <w:marTop w:val="0"/>
      <w:marBottom w:val="0"/>
      <w:divBdr>
        <w:top w:val="none" w:sz="0" w:space="0" w:color="auto"/>
        <w:left w:val="none" w:sz="0" w:space="0" w:color="auto"/>
        <w:bottom w:val="none" w:sz="0" w:space="0" w:color="auto"/>
        <w:right w:val="none" w:sz="0" w:space="0" w:color="auto"/>
      </w:divBdr>
    </w:div>
    <w:div w:id="1819683098">
      <w:bodyDiv w:val="1"/>
      <w:marLeft w:val="0"/>
      <w:marRight w:val="0"/>
      <w:marTop w:val="0"/>
      <w:marBottom w:val="0"/>
      <w:divBdr>
        <w:top w:val="none" w:sz="0" w:space="0" w:color="auto"/>
        <w:left w:val="none" w:sz="0" w:space="0" w:color="auto"/>
        <w:bottom w:val="none" w:sz="0" w:space="0" w:color="auto"/>
        <w:right w:val="none" w:sz="0" w:space="0" w:color="auto"/>
      </w:divBdr>
    </w:div>
    <w:div w:id="1853686175">
      <w:bodyDiv w:val="1"/>
      <w:marLeft w:val="0"/>
      <w:marRight w:val="0"/>
      <w:marTop w:val="0"/>
      <w:marBottom w:val="0"/>
      <w:divBdr>
        <w:top w:val="none" w:sz="0" w:space="0" w:color="auto"/>
        <w:left w:val="none" w:sz="0" w:space="0" w:color="auto"/>
        <w:bottom w:val="none" w:sz="0" w:space="0" w:color="auto"/>
        <w:right w:val="none" w:sz="0" w:space="0" w:color="auto"/>
      </w:divBdr>
    </w:div>
    <w:div w:id="1869832299">
      <w:bodyDiv w:val="1"/>
      <w:marLeft w:val="0"/>
      <w:marRight w:val="0"/>
      <w:marTop w:val="0"/>
      <w:marBottom w:val="0"/>
      <w:divBdr>
        <w:top w:val="none" w:sz="0" w:space="0" w:color="auto"/>
        <w:left w:val="none" w:sz="0" w:space="0" w:color="auto"/>
        <w:bottom w:val="none" w:sz="0" w:space="0" w:color="auto"/>
        <w:right w:val="none" w:sz="0" w:space="0" w:color="auto"/>
      </w:divBdr>
    </w:div>
    <w:div w:id="1916477806">
      <w:bodyDiv w:val="1"/>
      <w:marLeft w:val="0"/>
      <w:marRight w:val="0"/>
      <w:marTop w:val="0"/>
      <w:marBottom w:val="0"/>
      <w:divBdr>
        <w:top w:val="none" w:sz="0" w:space="0" w:color="auto"/>
        <w:left w:val="none" w:sz="0" w:space="0" w:color="auto"/>
        <w:bottom w:val="none" w:sz="0" w:space="0" w:color="auto"/>
        <w:right w:val="none" w:sz="0" w:space="0" w:color="auto"/>
      </w:divBdr>
    </w:div>
    <w:div w:id="1919636573">
      <w:bodyDiv w:val="1"/>
      <w:marLeft w:val="0"/>
      <w:marRight w:val="0"/>
      <w:marTop w:val="0"/>
      <w:marBottom w:val="0"/>
      <w:divBdr>
        <w:top w:val="none" w:sz="0" w:space="0" w:color="auto"/>
        <w:left w:val="none" w:sz="0" w:space="0" w:color="auto"/>
        <w:bottom w:val="none" w:sz="0" w:space="0" w:color="auto"/>
        <w:right w:val="none" w:sz="0" w:space="0" w:color="auto"/>
      </w:divBdr>
    </w:div>
    <w:div w:id="1948850521">
      <w:bodyDiv w:val="1"/>
      <w:marLeft w:val="0"/>
      <w:marRight w:val="0"/>
      <w:marTop w:val="0"/>
      <w:marBottom w:val="0"/>
      <w:divBdr>
        <w:top w:val="none" w:sz="0" w:space="0" w:color="auto"/>
        <w:left w:val="none" w:sz="0" w:space="0" w:color="auto"/>
        <w:bottom w:val="none" w:sz="0" w:space="0" w:color="auto"/>
        <w:right w:val="none" w:sz="0" w:space="0" w:color="auto"/>
      </w:divBdr>
    </w:div>
    <w:div w:id="2007437725">
      <w:bodyDiv w:val="1"/>
      <w:marLeft w:val="0"/>
      <w:marRight w:val="0"/>
      <w:marTop w:val="0"/>
      <w:marBottom w:val="0"/>
      <w:divBdr>
        <w:top w:val="none" w:sz="0" w:space="0" w:color="auto"/>
        <w:left w:val="none" w:sz="0" w:space="0" w:color="auto"/>
        <w:bottom w:val="none" w:sz="0" w:space="0" w:color="auto"/>
        <w:right w:val="none" w:sz="0" w:space="0" w:color="auto"/>
      </w:divBdr>
    </w:div>
    <w:div w:id="21313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F54AE-CAF8-4EDF-9E8B-A0546CC26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2123</Words>
  <Characters>12743</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26</cp:revision>
  <cp:lastPrinted>2012-02-27T14:04:00Z</cp:lastPrinted>
  <dcterms:created xsi:type="dcterms:W3CDTF">2012-09-16T16:19:00Z</dcterms:created>
  <dcterms:modified xsi:type="dcterms:W3CDTF">2018-07-09T09:25:00Z</dcterms:modified>
</cp:coreProperties>
</file>