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BC79B6" w:rsidRDefault="007157FF" w:rsidP="00BC79B6">
      <w:pPr>
        <w:spacing w:after="0"/>
        <w:jc w:val="center"/>
        <w:rPr>
          <w:rFonts w:cs="Calibri"/>
          <w:bCs/>
          <w:sz w:val="48"/>
          <w:szCs w:val="48"/>
        </w:rPr>
      </w:pPr>
      <w:r>
        <w:rPr>
          <w:rFonts w:cs="Calibri"/>
          <w:bCs/>
          <w:sz w:val="48"/>
          <w:szCs w:val="48"/>
        </w:rPr>
        <w:t>Okładziny ścienne</w:t>
      </w:r>
    </w:p>
    <w:p w:rsidR="0063023F" w:rsidRPr="003105B0" w:rsidRDefault="00BC79B6" w:rsidP="00BC79B6">
      <w:pPr>
        <w:spacing w:after="0"/>
        <w:jc w:val="center"/>
        <w:rPr>
          <w:rFonts w:cs="Calibri"/>
          <w:bCs/>
          <w:sz w:val="48"/>
          <w:szCs w:val="48"/>
        </w:rPr>
      </w:pPr>
      <w:r>
        <w:rPr>
          <w:rFonts w:cs="Calibri"/>
          <w:bCs/>
          <w:sz w:val="48"/>
          <w:szCs w:val="48"/>
        </w:rPr>
        <w:t>ST 01.0</w:t>
      </w:r>
      <w:r w:rsidR="0052191D">
        <w:rPr>
          <w:rFonts w:cs="Calibri"/>
          <w:bCs/>
          <w:sz w:val="48"/>
          <w:szCs w:val="48"/>
        </w:rPr>
        <w:t>8</w:t>
      </w:r>
    </w:p>
    <w:p w:rsidR="0063023F" w:rsidRPr="003105B0" w:rsidRDefault="0063023F" w:rsidP="003E718D">
      <w:pPr>
        <w:pStyle w:val="Akapitzlist"/>
        <w:numPr>
          <w:ilvl w:val="0"/>
          <w:numId w:val="18"/>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3E718D">
      <w:pPr>
        <w:pStyle w:val="Akapitzlist"/>
        <w:numPr>
          <w:ilvl w:val="1"/>
          <w:numId w:val="18"/>
        </w:numPr>
        <w:spacing w:after="0"/>
        <w:jc w:val="both"/>
        <w:rPr>
          <w:rFonts w:cs="Calibri"/>
          <w:b/>
          <w:bCs/>
        </w:rPr>
      </w:pPr>
      <w:r w:rsidRPr="003105B0">
        <w:rPr>
          <w:rFonts w:cs="Calibri"/>
          <w:b/>
          <w:bCs/>
        </w:rPr>
        <w:t>Przedmiot i zakres specyfikacji</w:t>
      </w:r>
    </w:p>
    <w:p w:rsidR="003237D3" w:rsidRPr="003237D3" w:rsidRDefault="00405661" w:rsidP="003237D3">
      <w:pPr>
        <w:spacing w:after="0"/>
        <w:jc w:val="both"/>
        <w:rPr>
          <w:rFonts w:cs="Calibri"/>
        </w:rPr>
      </w:pPr>
      <w:r w:rsidRPr="00405661">
        <w:rPr>
          <w:rFonts w:cs="Calibri"/>
          <w:bCs/>
        </w:rPr>
        <w:t xml:space="preserve">Niniejszy tom specyfikacji obejmuje wymagania wykonania i odbioru robót </w:t>
      </w:r>
      <w:r w:rsidR="00466829">
        <w:rPr>
          <w:rFonts w:cs="Calibri"/>
          <w:bCs/>
        </w:rPr>
        <w:t>okładzinowych</w:t>
      </w:r>
      <w:r w:rsidRPr="00405661">
        <w:rPr>
          <w:rFonts w:cs="Calibri"/>
          <w:bCs/>
        </w:rPr>
        <w:t xml:space="preserve"> dla </w:t>
      </w:r>
      <w:r w:rsidR="0052191D" w:rsidRPr="0052191D">
        <w:rPr>
          <w:rFonts w:cs="Calibri"/>
        </w:rPr>
        <w:t xml:space="preserve">inwestycji </w:t>
      </w:r>
      <w:r w:rsidR="00606ECE" w:rsidRPr="00606ECE">
        <w:rPr>
          <w:rFonts w:cs="Calibri"/>
        </w:rPr>
        <w:t>Rozbudowa i przebudowa wejścia C budynku Starostwa w Ożarowie Mazowieckim w ramach zadania inwestycyjnego "Budowa szybu windowego wraz z rozbudową wejścia C budynku Starostwa", ul. Poznańska 129/133, Ożarów Mazowiecki</w:t>
      </w:r>
      <w:r w:rsidRPr="00405661">
        <w:rPr>
          <w:rFonts w:cs="Calibri"/>
          <w:bCs/>
        </w:rPr>
        <w:t>.</w:t>
      </w:r>
    </w:p>
    <w:p w:rsidR="0063023F" w:rsidRPr="00687E6B" w:rsidRDefault="0063023F" w:rsidP="00687E6B">
      <w:pPr>
        <w:spacing w:after="0"/>
        <w:jc w:val="both"/>
        <w:rPr>
          <w:rFonts w:cs="Calibri"/>
          <w:b/>
          <w:bCs/>
        </w:rPr>
      </w:pPr>
      <w:r w:rsidRPr="00687E6B">
        <w:rPr>
          <w:rFonts w:cs="Calibri"/>
          <w:b/>
          <w:bCs/>
        </w:rPr>
        <w:t>Klasyfikacja robót wg Wspólnego Słownika Zamówień (CPV).</w:t>
      </w:r>
    </w:p>
    <w:p w:rsidR="007C29B6" w:rsidRDefault="007704D9" w:rsidP="007704D9">
      <w:pPr>
        <w:spacing w:after="0"/>
        <w:jc w:val="both"/>
        <w:rPr>
          <w:rFonts w:cs="Calibri"/>
          <w:bCs/>
        </w:rPr>
      </w:pPr>
      <w:r w:rsidRPr="007704D9">
        <w:rPr>
          <w:rFonts w:cs="Calibri"/>
          <w:bCs/>
        </w:rPr>
        <w:t>45400000-1</w:t>
      </w:r>
      <w:r>
        <w:rPr>
          <w:rFonts w:cs="Calibri"/>
          <w:bCs/>
        </w:rPr>
        <w:t xml:space="preserve"> </w:t>
      </w:r>
      <w:r w:rsidRPr="007704D9">
        <w:rPr>
          <w:rFonts w:cs="Calibri"/>
          <w:bCs/>
        </w:rPr>
        <w:t>Roboty wykończeniowe w zakresie obiektów</w:t>
      </w:r>
      <w:r>
        <w:rPr>
          <w:rFonts w:cs="Calibri"/>
          <w:bCs/>
        </w:rPr>
        <w:t xml:space="preserve"> </w:t>
      </w:r>
      <w:r w:rsidRPr="007704D9">
        <w:rPr>
          <w:rFonts w:cs="Calibri"/>
          <w:bCs/>
        </w:rPr>
        <w:t>budowlanych</w:t>
      </w:r>
    </w:p>
    <w:p w:rsidR="00AC274D" w:rsidRDefault="00621EF2" w:rsidP="00AC274D">
      <w:pPr>
        <w:spacing w:after="0"/>
        <w:jc w:val="both"/>
        <w:rPr>
          <w:rFonts w:cs="Calibri"/>
          <w:bCs/>
        </w:rPr>
      </w:pPr>
      <w:r w:rsidRPr="00621EF2">
        <w:rPr>
          <w:rFonts w:cs="Calibri"/>
          <w:bCs/>
        </w:rPr>
        <w:t>45430000-0</w:t>
      </w:r>
      <w:r>
        <w:rPr>
          <w:rFonts w:cs="Calibri"/>
          <w:bCs/>
        </w:rPr>
        <w:t xml:space="preserve"> </w:t>
      </w:r>
      <w:r w:rsidRPr="00621EF2">
        <w:rPr>
          <w:rFonts w:cs="Calibri"/>
          <w:bCs/>
        </w:rPr>
        <w:t>Pokrywanie podłóg i ścian</w:t>
      </w:r>
    </w:p>
    <w:p w:rsidR="00621EF2" w:rsidRDefault="00621EF2" w:rsidP="00AC274D">
      <w:pPr>
        <w:spacing w:after="0"/>
        <w:jc w:val="both"/>
        <w:rPr>
          <w:rFonts w:cs="Calibri"/>
          <w:bCs/>
        </w:rPr>
      </w:pPr>
      <w:r w:rsidRPr="00621EF2">
        <w:rPr>
          <w:rFonts w:cs="Calibri"/>
          <w:bCs/>
        </w:rPr>
        <w:t>45431000-7</w:t>
      </w:r>
      <w:r>
        <w:rPr>
          <w:rFonts w:cs="Calibri"/>
          <w:bCs/>
        </w:rPr>
        <w:t xml:space="preserve"> </w:t>
      </w:r>
      <w:r w:rsidRPr="00621EF2">
        <w:rPr>
          <w:rFonts w:cs="Calibri"/>
          <w:bCs/>
        </w:rPr>
        <w:t>Kładzenie płytek</w:t>
      </w:r>
    </w:p>
    <w:p w:rsidR="00687E6B" w:rsidRDefault="00687E6B" w:rsidP="00687E6B">
      <w:pPr>
        <w:pStyle w:val="Akapitzlist"/>
        <w:numPr>
          <w:ilvl w:val="1"/>
          <w:numId w:val="18"/>
        </w:numPr>
        <w:spacing w:after="0"/>
        <w:jc w:val="both"/>
        <w:rPr>
          <w:rFonts w:cs="Calibri"/>
          <w:b/>
          <w:bCs/>
        </w:rPr>
      </w:pPr>
      <w:r>
        <w:rPr>
          <w:rFonts w:cs="Calibri"/>
          <w:b/>
          <w:bCs/>
        </w:rPr>
        <w:t>Zakres stosowania specyfikacji</w:t>
      </w:r>
    </w:p>
    <w:p w:rsidR="00687E6B" w:rsidRDefault="00687E6B" w:rsidP="00687E6B">
      <w:pPr>
        <w:spacing w:after="0"/>
        <w:jc w:val="both"/>
        <w:rPr>
          <w:rFonts w:cs="Calibri"/>
          <w:bCs/>
        </w:rPr>
      </w:pPr>
      <w:r w:rsidRPr="003E2CE8">
        <w:rPr>
          <w:rFonts w:cs="Calibri"/>
          <w:bCs/>
        </w:rPr>
        <w:t xml:space="preserve">Szczegółowa specyfikacja techniczna jest </w:t>
      </w:r>
      <w:r w:rsidR="0052191D" w:rsidRPr="003E2CE8">
        <w:rPr>
          <w:rFonts w:cs="Calibri"/>
          <w:bCs/>
        </w:rPr>
        <w:t>stosowana jako</w:t>
      </w:r>
      <w:r w:rsidRPr="003E2CE8">
        <w:rPr>
          <w:rFonts w:cs="Calibri"/>
          <w:bCs/>
        </w:rPr>
        <w:t xml:space="preserve"> dokument pod Zamówienie Publiczne przy zlecaniu i realizacji robót wymienionych w pkt. 1.1.</w:t>
      </w:r>
    </w:p>
    <w:p w:rsidR="00687E6B" w:rsidRDefault="00687E6B" w:rsidP="00687E6B">
      <w:pPr>
        <w:pStyle w:val="Akapitzlist"/>
        <w:numPr>
          <w:ilvl w:val="1"/>
          <w:numId w:val="18"/>
        </w:numPr>
        <w:spacing w:after="0"/>
        <w:jc w:val="both"/>
        <w:rPr>
          <w:rFonts w:cs="Calibri"/>
          <w:b/>
          <w:bCs/>
        </w:rPr>
      </w:pPr>
      <w:r>
        <w:rPr>
          <w:rFonts w:cs="Calibri"/>
          <w:b/>
          <w:bCs/>
        </w:rPr>
        <w:t>Określenia podstawowe</w:t>
      </w:r>
    </w:p>
    <w:p w:rsidR="00687E6B" w:rsidRPr="00E025EF" w:rsidRDefault="00687E6B" w:rsidP="00687E6B">
      <w:pPr>
        <w:spacing w:after="0"/>
        <w:jc w:val="both"/>
        <w:rPr>
          <w:rFonts w:cs="Calibri"/>
          <w:bCs/>
        </w:rPr>
      </w:pPr>
      <w:r w:rsidRPr="00E025EF">
        <w:rPr>
          <w:rFonts w:cs="Calibri"/>
          <w:bCs/>
        </w:rPr>
        <w:t>Określenia i nazewnictwo użyte w niniejszej szczegółowej specyfikacji technicznej są</w:t>
      </w:r>
      <w:r>
        <w:rPr>
          <w:rFonts w:cs="Calibri"/>
          <w:bCs/>
        </w:rPr>
        <w:t xml:space="preserve"> </w:t>
      </w:r>
      <w:r w:rsidRPr="00E025EF">
        <w:rPr>
          <w:rFonts w:cs="Calibri"/>
          <w:bCs/>
        </w:rPr>
        <w:t>zgodne z obowiązującymi podanymi w normach PN i przepisach Prawa budowlanego.</w:t>
      </w:r>
    </w:p>
    <w:p w:rsidR="00E416D6" w:rsidRPr="00E416D6" w:rsidRDefault="00E416D6" w:rsidP="00E416D6">
      <w:pPr>
        <w:pStyle w:val="Akapitzlist"/>
        <w:numPr>
          <w:ilvl w:val="1"/>
          <w:numId w:val="18"/>
        </w:numPr>
        <w:spacing w:after="0"/>
        <w:jc w:val="both"/>
        <w:rPr>
          <w:rFonts w:cs="Calibri"/>
          <w:b/>
          <w:bCs/>
        </w:rPr>
      </w:pPr>
      <w:r w:rsidRPr="00E416D6">
        <w:rPr>
          <w:rFonts w:cs="Calibri"/>
          <w:b/>
          <w:bCs/>
        </w:rPr>
        <w:t>Zakres robot objętych SST</w:t>
      </w:r>
    </w:p>
    <w:p w:rsidR="00687E6B" w:rsidRDefault="00E416D6" w:rsidP="00E416D6">
      <w:pPr>
        <w:spacing w:after="0"/>
        <w:jc w:val="both"/>
        <w:rPr>
          <w:rFonts w:cs="Calibri"/>
          <w:bCs/>
        </w:rPr>
      </w:pPr>
      <w:r w:rsidRPr="00E416D6">
        <w:rPr>
          <w:rFonts w:cs="Calibri"/>
          <w:bCs/>
        </w:rPr>
        <w:t>Roboty, których dotyczy specyfikacja, obejmują wszystkie czynności mające na celu wykonanie</w:t>
      </w:r>
      <w:r w:rsidR="00DA7310">
        <w:rPr>
          <w:rFonts w:cs="Calibri"/>
          <w:bCs/>
        </w:rPr>
        <w:t xml:space="preserve"> okładzin ściennych i podłogowych z płytek ceramicznych.</w:t>
      </w:r>
    </w:p>
    <w:p w:rsidR="003523E1" w:rsidRPr="003523E1" w:rsidRDefault="003523E1" w:rsidP="003523E1">
      <w:pPr>
        <w:pStyle w:val="Akapitzlist"/>
        <w:numPr>
          <w:ilvl w:val="1"/>
          <w:numId w:val="18"/>
        </w:numPr>
        <w:spacing w:after="0"/>
        <w:jc w:val="both"/>
        <w:rPr>
          <w:rFonts w:cs="Calibri"/>
          <w:b/>
          <w:bCs/>
        </w:rPr>
      </w:pPr>
      <w:r w:rsidRPr="003523E1">
        <w:rPr>
          <w:rFonts w:cs="Calibri"/>
          <w:b/>
          <w:bCs/>
        </w:rPr>
        <w:t>Ogólne wymagania dotyczące robót</w:t>
      </w:r>
    </w:p>
    <w:p w:rsidR="00687E6B" w:rsidRDefault="003523E1" w:rsidP="003523E1">
      <w:pPr>
        <w:spacing w:after="0"/>
        <w:jc w:val="both"/>
        <w:rPr>
          <w:rFonts w:cs="Calibri"/>
          <w:bCs/>
        </w:rPr>
      </w:pPr>
      <w:r w:rsidRPr="003523E1">
        <w:rPr>
          <w:rFonts w:cs="Calibri"/>
          <w:bCs/>
        </w:rPr>
        <w:t>Wykonawca robót jest odpowiedzialny za jakość wykonania robót, ich zgodność z</w:t>
      </w:r>
      <w:r>
        <w:rPr>
          <w:rFonts w:cs="Calibri"/>
          <w:bCs/>
        </w:rPr>
        <w:t xml:space="preserve"> </w:t>
      </w:r>
      <w:r w:rsidRPr="003523E1">
        <w:rPr>
          <w:rFonts w:cs="Calibri"/>
          <w:bCs/>
        </w:rPr>
        <w:t>dokumentacją projektową, SST i poleceniami Inspektora Nadzoru.</w:t>
      </w:r>
    </w:p>
    <w:p w:rsidR="00687E6B" w:rsidRDefault="00687E6B" w:rsidP="00AC274D">
      <w:pPr>
        <w:spacing w:after="0"/>
        <w:jc w:val="both"/>
        <w:rPr>
          <w:rFonts w:cs="Calibri"/>
          <w:bCs/>
        </w:rPr>
      </w:pPr>
    </w:p>
    <w:p w:rsidR="00687E6B" w:rsidRPr="006B0902" w:rsidRDefault="006B0902" w:rsidP="006B0902">
      <w:pPr>
        <w:pStyle w:val="Akapitzlist"/>
        <w:numPr>
          <w:ilvl w:val="0"/>
          <w:numId w:val="18"/>
        </w:numPr>
        <w:spacing w:after="0"/>
        <w:jc w:val="both"/>
        <w:rPr>
          <w:rFonts w:cs="Calibri"/>
          <w:b/>
          <w:bCs/>
        </w:rPr>
      </w:pPr>
      <w:r w:rsidRPr="006B0902">
        <w:rPr>
          <w:rFonts w:cs="Calibri"/>
          <w:b/>
          <w:bCs/>
        </w:rPr>
        <w:t>MATERIAŁY</w:t>
      </w:r>
    </w:p>
    <w:p w:rsidR="006B0902" w:rsidRPr="006B0902" w:rsidRDefault="006B0902" w:rsidP="006B0902">
      <w:pPr>
        <w:spacing w:after="0"/>
        <w:jc w:val="both"/>
        <w:rPr>
          <w:rFonts w:cs="Calibri"/>
          <w:bCs/>
        </w:rPr>
      </w:pPr>
      <w:r>
        <w:rPr>
          <w:rFonts w:cs="Calibri"/>
          <w:bCs/>
        </w:rPr>
        <w:t>M</w:t>
      </w:r>
      <w:r w:rsidRPr="006B0902">
        <w:rPr>
          <w:rFonts w:cs="Calibri"/>
          <w:bCs/>
        </w:rPr>
        <w:t>ateriały stosowane do wykonywania robot wykładzinowych i okładzinowych z płytek ceramicznych</w:t>
      </w:r>
      <w:r>
        <w:rPr>
          <w:rFonts w:cs="Calibri"/>
          <w:bCs/>
        </w:rPr>
        <w:t xml:space="preserve"> </w:t>
      </w:r>
      <w:r w:rsidRPr="006B0902">
        <w:rPr>
          <w:rFonts w:cs="Calibri"/>
          <w:bCs/>
        </w:rPr>
        <w:t>powinny mieć:</w:t>
      </w:r>
    </w:p>
    <w:p w:rsidR="006B0902" w:rsidRPr="006B0902" w:rsidRDefault="006B0902" w:rsidP="006B0902">
      <w:pPr>
        <w:spacing w:after="0"/>
        <w:jc w:val="both"/>
        <w:rPr>
          <w:rFonts w:cs="Calibri"/>
          <w:bCs/>
        </w:rPr>
      </w:pPr>
      <w:r w:rsidRPr="006B0902">
        <w:rPr>
          <w:rFonts w:cs="Calibri"/>
          <w:bCs/>
        </w:rPr>
        <w:t>– Aprobaty Techniczne lub być produkowane zgodnie z obowiązującymi normami,</w:t>
      </w:r>
    </w:p>
    <w:p w:rsidR="006B0902" w:rsidRPr="006B0902" w:rsidRDefault="006B0902" w:rsidP="006B0902">
      <w:pPr>
        <w:spacing w:after="0"/>
        <w:jc w:val="both"/>
        <w:rPr>
          <w:rFonts w:cs="Calibri"/>
          <w:bCs/>
        </w:rPr>
      </w:pPr>
      <w:r w:rsidRPr="006B0902">
        <w:rPr>
          <w:rFonts w:cs="Calibri"/>
          <w:bCs/>
        </w:rPr>
        <w:t>– Certyfikat lub Deklarację Zgodności z Aprobatą Techniczną lub z PN,</w:t>
      </w:r>
    </w:p>
    <w:p w:rsidR="006B0902" w:rsidRPr="006B0902" w:rsidRDefault="006B0902" w:rsidP="006B0902">
      <w:pPr>
        <w:spacing w:after="0"/>
        <w:jc w:val="both"/>
        <w:rPr>
          <w:rFonts w:cs="Calibri"/>
          <w:bCs/>
        </w:rPr>
      </w:pPr>
      <w:r w:rsidRPr="006B0902">
        <w:rPr>
          <w:rFonts w:cs="Calibri"/>
          <w:bCs/>
        </w:rPr>
        <w:t>– Certyfikat na znak bezpieczeństwa,</w:t>
      </w:r>
    </w:p>
    <w:p w:rsidR="006B0902" w:rsidRPr="006B0902" w:rsidRDefault="006B0902" w:rsidP="006B0902">
      <w:pPr>
        <w:spacing w:after="0"/>
        <w:jc w:val="both"/>
        <w:rPr>
          <w:rFonts w:cs="Calibri"/>
          <w:bCs/>
        </w:rPr>
      </w:pPr>
      <w:r w:rsidRPr="006B0902">
        <w:rPr>
          <w:rFonts w:cs="Calibri"/>
          <w:bCs/>
        </w:rPr>
        <w:t>– Certyfikat zgodności ze zharmonizowaną normą europejską wprowadzoną do zbioru norm polskich,</w:t>
      </w:r>
    </w:p>
    <w:p w:rsidR="006B0902" w:rsidRPr="006B0902" w:rsidRDefault="006B0902" w:rsidP="006B0902">
      <w:pPr>
        <w:spacing w:after="0"/>
        <w:jc w:val="both"/>
        <w:rPr>
          <w:rFonts w:cs="Calibri"/>
          <w:bCs/>
        </w:rPr>
      </w:pPr>
      <w:r w:rsidRPr="006B0902">
        <w:rPr>
          <w:rFonts w:cs="Calibri"/>
          <w:bCs/>
        </w:rPr>
        <w:t>– na opakowaniach powinien znajdować się termin przydatności do stosowania.</w:t>
      </w:r>
    </w:p>
    <w:p w:rsidR="006B0902" w:rsidRPr="006B0902" w:rsidRDefault="006B0902" w:rsidP="006B0902">
      <w:pPr>
        <w:spacing w:after="0"/>
        <w:jc w:val="both"/>
        <w:rPr>
          <w:rFonts w:cs="Calibri"/>
          <w:bCs/>
        </w:rPr>
      </w:pPr>
      <w:r w:rsidRPr="006B0902">
        <w:rPr>
          <w:rFonts w:cs="Calibri"/>
          <w:bCs/>
        </w:rPr>
        <w:t>Sposób transportu i składowania powinien być zgodny z warunkami i wymaganiami podanymi przez producenta.</w:t>
      </w:r>
    </w:p>
    <w:p w:rsidR="006B0902" w:rsidRDefault="006B0902" w:rsidP="006B0902">
      <w:pPr>
        <w:spacing w:after="0"/>
        <w:jc w:val="both"/>
        <w:rPr>
          <w:rFonts w:cs="Calibri"/>
          <w:bCs/>
        </w:rPr>
      </w:pPr>
      <w:r w:rsidRPr="006B0902">
        <w:rPr>
          <w:rFonts w:cs="Calibri"/>
          <w:bCs/>
        </w:rPr>
        <w:t>Wykonawca obowiązany jest posiadać na budowie pełną dokumentację dotyczącą składowanych na budowie materiałów przeznaczonych do wykonania robot wykładzinowych i okładzinowych.</w:t>
      </w:r>
    </w:p>
    <w:p w:rsidR="006B0902" w:rsidRPr="0076257E" w:rsidRDefault="006B0902" w:rsidP="0076257E">
      <w:pPr>
        <w:pStyle w:val="Akapitzlist"/>
        <w:numPr>
          <w:ilvl w:val="1"/>
          <w:numId w:val="18"/>
        </w:numPr>
        <w:spacing w:after="0"/>
        <w:jc w:val="both"/>
        <w:rPr>
          <w:rFonts w:cs="Calibri"/>
          <w:b/>
          <w:bCs/>
        </w:rPr>
      </w:pPr>
      <w:r w:rsidRPr="0076257E">
        <w:rPr>
          <w:rFonts w:cs="Calibri"/>
          <w:b/>
          <w:bCs/>
        </w:rPr>
        <w:t xml:space="preserve">Rodzaje </w:t>
      </w:r>
      <w:r w:rsidR="0076257E" w:rsidRPr="0076257E">
        <w:rPr>
          <w:rFonts w:cs="Calibri"/>
          <w:b/>
          <w:bCs/>
        </w:rPr>
        <w:t>materiałów</w:t>
      </w:r>
    </w:p>
    <w:p w:rsidR="006B0902" w:rsidRDefault="006B0902" w:rsidP="006B0902">
      <w:pPr>
        <w:spacing w:after="0"/>
        <w:jc w:val="both"/>
        <w:rPr>
          <w:rFonts w:cs="Calibri"/>
          <w:bCs/>
        </w:rPr>
      </w:pPr>
      <w:r w:rsidRPr="006B0902">
        <w:rPr>
          <w:rFonts w:cs="Calibri"/>
          <w:bCs/>
        </w:rPr>
        <w:t>Wszelkie materiały do wykonania wykładzin i okładzin powinny odpowiadać wymaganiom zawartym w normach polskich lub aprobatach technicznych ITB dopuszczających dany materiał do powszechnego stosowania w budownictwie.</w:t>
      </w:r>
    </w:p>
    <w:p w:rsidR="00AB4D97" w:rsidRPr="006B0902" w:rsidRDefault="00AB4D97" w:rsidP="006B0902">
      <w:pPr>
        <w:spacing w:after="0"/>
        <w:jc w:val="both"/>
        <w:rPr>
          <w:rFonts w:cs="Calibri"/>
          <w:bCs/>
        </w:rPr>
      </w:pPr>
    </w:p>
    <w:p w:rsidR="006B0902" w:rsidRPr="00DA7928" w:rsidRDefault="006B0902" w:rsidP="006B0902">
      <w:pPr>
        <w:spacing w:after="0"/>
        <w:jc w:val="both"/>
        <w:rPr>
          <w:rFonts w:cs="Calibri"/>
          <w:b/>
          <w:bCs/>
        </w:rPr>
      </w:pPr>
      <w:r w:rsidRPr="00DA7928">
        <w:rPr>
          <w:rFonts w:cs="Calibri"/>
          <w:b/>
          <w:bCs/>
        </w:rPr>
        <w:t>Płyty i płytki ceramiczne</w:t>
      </w:r>
    </w:p>
    <w:p w:rsidR="006B0902" w:rsidRPr="006B0902" w:rsidRDefault="006B0902" w:rsidP="006B0902">
      <w:pPr>
        <w:spacing w:after="0"/>
        <w:jc w:val="both"/>
        <w:rPr>
          <w:rFonts w:cs="Calibri"/>
          <w:bCs/>
        </w:rPr>
      </w:pPr>
      <w:r w:rsidRPr="006B0902">
        <w:rPr>
          <w:rFonts w:cs="Calibri"/>
          <w:bCs/>
        </w:rPr>
        <w:t>Płytki powinny odpowiadać następującym normom:</w:t>
      </w:r>
    </w:p>
    <w:p w:rsidR="006B0902" w:rsidRPr="006B0902" w:rsidRDefault="006B0902" w:rsidP="006B0902">
      <w:pPr>
        <w:spacing w:after="0"/>
        <w:jc w:val="both"/>
        <w:rPr>
          <w:rFonts w:cs="Calibri"/>
          <w:bCs/>
        </w:rPr>
      </w:pPr>
      <w:proofErr w:type="gramStart"/>
      <w:r w:rsidRPr="006B0902">
        <w:rPr>
          <w:rFonts w:cs="Calibri"/>
          <w:bCs/>
        </w:rPr>
        <w:t xml:space="preserve">Właściwości  </w:t>
      </w:r>
      <w:r w:rsidR="0076257E">
        <w:rPr>
          <w:rFonts w:cs="Calibri"/>
          <w:bCs/>
        </w:rPr>
        <w:tab/>
      </w:r>
      <w:proofErr w:type="gramEnd"/>
      <w:r w:rsidR="0076257E">
        <w:rPr>
          <w:rFonts w:cs="Calibri"/>
          <w:bCs/>
        </w:rPr>
        <w:tab/>
      </w:r>
      <w:r w:rsidR="0076257E">
        <w:rPr>
          <w:rFonts w:cs="Calibri"/>
          <w:bCs/>
        </w:rPr>
        <w:tab/>
      </w:r>
      <w:r w:rsidR="0076257E">
        <w:rPr>
          <w:rFonts w:cs="Calibri"/>
          <w:bCs/>
        </w:rPr>
        <w:tab/>
      </w:r>
      <w:r w:rsidR="0076257E">
        <w:rPr>
          <w:rFonts w:cs="Calibri"/>
          <w:bCs/>
        </w:rPr>
        <w:tab/>
      </w:r>
      <w:r w:rsidRPr="006B0902">
        <w:rPr>
          <w:rFonts w:cs="Calibri"/>
          <w:bCs/>
        </w:rPr>
        <w:t xml:space="preserve">Badanie wg  </w:t>
      </w:r>
      <w:r w:rsidR="0076257E">
        <w:rPr>
          <w:rFonts w:cs="Calibri"/>
          <w:bCs/>
        </w:rPr>
        <w:tab/>
      </w:r>
      <w:r w:rsidR="0076257E">
        <w:rPr>
          <w:rFonts w:cs="Calibri"/>
          <w:bCs/>
        </w:rPr>
        <w:tab/>
      </w:r>
      <w:r w:rsidR="0076257E">
        <w:rPr>
          <w:rFonts w:cs="Calibri"/>
          <w:bCs/>
        </w:rPr>
        <w:tab/>
      </w:r>
      <w:r w:rsidRPr="006B0902">
        <w:rPr>
          <w:rFonts w:cs="Calibri"/>
          <w:bCs/>
        </w:rPr>
        <w:t>Wymagania</w:t>
      </w:r>
    </w:p>
    <w:p w:rsidR="006B0902" w:rsidRPr="006B0902" w:rsidRDefault="006B0902" w:rsidP="006B0902">
      <w:pPr>
        <w:spacing w:after="0"/>
        <w:jc w:val="both"/>
        <w:rPr>
          <w:rFonts w:cs="Calibri"/>
          <w:bCs/>
        </w:rPr>
      </w:pPr>
      <w:r w:rsidRPr="006B0902">
        <w:rPr>
          <w:rFonts w:cs="Calibri"/>
          <w:bCs/>
        </w:rPr>
        <w:t xml:space="preserve">Nasiąkliwość wodna % </w:t>
      </w:r>
      <w:r w:rsidR="0076257E">
        <w:rPr>
          <w:rFonts w:cs="Calibri"/>
          <w:bCs/>
        </w:rPr>
        <w:tab/>
      </w:r>
      <w:r w:rsidR="0076257E">
        <w:rPr>
          <w:rFonts w:cs="Calibri"/>
          <w:bCs/>
        </w:rPr>
        <w:tab/>
      </w:r>
      <w:r w:rsidR="0076257E">
        <w:rPr>
          <w:rFonts w:cs="Calibri"/>
          <w:bCs/>
        </w:rPr>
        <w:tab/>
      </w:r>
      <w:r w:rsidRPr="006B0902">
        <w:rPr>
          <w:rFonts w:cs="Calibri"/>
          <w:bCs/>
        </w:rPr>
        <w:t xml:space="preserve"> </w:t>
      </w:r>
      <w:r w:rsidR="0076257E">
        <w:rPr>
          <w:rFonts w:cs="Calibri"/>
          <w:bCs/>
        </w:rPr>
        <w:tab/>
      </w:r>
      <w:r w:rsidRPr="006B0902">
        <w:rPr>
          <w:rFonts w:cs="Calibri"/>
          <w:bCs/>
        </w:rPr>
        <w:t>PN-EN ISO 10545-3</w:t>
      </w:r>
      <w:r w:rsidR="0076257E">
        <w:rPr>
          <w:rFonts w:cs="Calibri"/>
          <w:bCs/>
        </w:rPr>
        <w:tab/>
      </w:r>
      <w:r w:rsidR="0076257E">
        <w:rPr>
          <w:rFonts w:cs="Calibri"/>
          <w:bCs/>
        </w:rPr>
        <w:tab/>
      </w:r>
      <w:r w:rsidRPr="006B0902">
        <w:rPr>
          <w:rFonts w:cs="Calibri"/>
          <w:bCs/>
        </w:rPr>
        <w:t xml:space="preserve"> E&lt;=0,5</w:t>
      </w:r>
    </w:p>
    <w:p w:rsidR="006B0902" w:rsidRPr="006B0902" w:rsidRDefault="006B0902" w:rsidP="006B0902">
      <w:pPr>
        <w:spacing w:after="0"/>
        <w:jc w:val="both"/>
        <w:rPr>
          <w:rFonts w:cs="Calibri"/>
          <w:bCs/>
        </w:rPr>
      </w:pPr>
      <w:r w:rsidRPr="006B0902">
        <w:rPr>
          <w:rFonts w:cs="Calibri"/>
          <w:bCs/>
        </w:rPr>
        <w:t xml:space="preserve">Wytrzymałość na zginanie </w:t>
      </w:r>
      <w:proofErr w:type="spellStart"/>
      <w:proofErr w:type="gramStart"/>
      <w:r w:rsidRPr="006B0902">
        <w:rPr>
          <w:rFonts w:cs="Calibri"/>
          <w:bCs/>
        </w:rPr>
        <w:t>Mpa</w:t>
      </w:r>
      <w:proofErr w:type="spellEnd"/>
      <w:r w:rsidRPr="006B0902">
        <w:rPr>
          <w:rFonts w:cs="Calibri"/>
          <w:bCs/>
        </w:rPr>
        <w:t xml:space="preserve">  </w:t>
      </w:r>
      <w:r w:rsidR="0076257E">
        <w:rPr>
          <w:rFonts w:cs="Calibri"/>
          <w:bCs/>
        </w:rPr>
        <w:tab/>
      </w:r>
      <w:proofErr w:type="gramEnd"/>
      <w:r w:rsidR="0076257E">
        <w:rPr>
          <w:rFonts w:cs="Calibri"/>
          <w:bCs/>
        </w:rPr>
        <w:tab/>
      </w:r>
      <w:r w:rsidRPr="006B0902">
        <w:rPr>
          <w:rFonts w:cs="Calibri"/>
          <w:bCs/>
        </w:rPr>
        <w:t xml:space="preserve">PN-EN ISO 10545-4 </w:t>
      </w:r>
      <w:r w:rsidR="0076257E">
        <w:rPr>
          <w:rFonts w:cs="Calibri"/>
          <w:bCs/>
        </w:rPr>
        <w:tab/>
      </w:r>
      <w:r w:rsidR="0076257E">
        <w:rPr>
          <w:rFonts w:cs="Calibri"/>
          <w:bCs/>
        </w:rPr>
        <w:tab/>
      </w:r>
      <w:r w:rsidRPr="006B0902">
        <w:rPr>
          <w:rFonts w:cs="Calibri"/>
          <w:bCs/>
        </w:rPr>
        <w:t>min.35</w:t>
      </w:r>
    </w:p>
    <w:p w:rsidR="0076257E" w:rsidRDefault="006B0902" w:rsidP="0076257E">
      <w:pPr>
        <w:spacing w:after="0"/>
        <w:ind w:left="1416" w:hanging="1416"/>
        <w:jc w:val="both"/>
        <w:rPr>
          <w:rFonts w:cs="Calibri"/>
          <w:bCs/>
        </w:rPr>
      </w:pPr>
      <w:r w:rsidRPr="006B0902">
        <w:rPr>
          <w:rFonts w:cs="Calibri"/>
          <w:bCs/>
        </w:rPr>
        <w:lastRenderedPageBreak/>
        <w:t xml:space="preserve">Siła łamiąca </w:t>
      </w:r>
      <w:proofErr w:type="gramStart"/>
      <w:r w:rsidRPr="006B0902">
        <w:rPr>
          <w:rFonts w:cs="Calibri"/>
          <w:bCs/>
        </w:rPr>
        <w:t xml:space="preserve">N  </w:t>
      </w:r>
      <w:r w:rsidR="0076257E">
        <w:rPr>
          <w:rFonts w:cs="Calibri"/>
          <w:bCs/>
        </w:rPr>
        <w:tab/>
      </w:r>
      <w:proofErr w:type="gramEnd"/>
      <w:r w:rsidR="0076257E">
        <w:rPr>
          <w:rFonts w:cs="Calibri"/>
          <w:bCs/>
        </w:rPr>
        <w:tab/>
      </w:r>
      <w:r w:rsidR="0076257E">
        <w:rPr>
          <w:rFonts w:cs="Calibri"/>
          <w:bCs/>
        </w:rPr>
        <w:tab/>
      </w:r>
      <w:r w:rsidR="0076257E">
        <w:rPr>
          <w:rFonts w:cs="Calibri"/>
          <w:bCs/>
        </w:rPr>
        <w:tab/>
      </w:r>
      <w:r w:rsidR="0076257E">
        <w:rPr>
          <w:rFonts w:cs="Calibri"/>
          <w:bCs/>
        </w:rPr>
        <w:tab/>
      </w:r>
      <w:r w:rsidRPr="006B0902">
        <w:rPr>
          <w:rFonts w:cs="Calibri"/>
          <w:bCs/>
        </w:rPr>
        <w:t>PN-EN ISO 10545-4</w:t>
      </w:r>
      <w:r w:rsidR="0076257E">
        <w:rPr>
          <w:rFonts w:cs="Calibri"/>
          <w:bCs/>
        </w:rPr>
        <w:tab/>
      </w:r>
      <w:r w:rsidR="0076257E">
        <w:rPr>
          <w:rFonts w:cs="Calibri"/>
          <w:bCs/>
        </w:rPr>
        <w:tab/>
      </w:r>
      <w:r w:rsidRPr="006B0902">
        <w:rPr>
          <w:rFonts w:cs="Calibri"/>
          <w:bCs/>
        </w:rPr>
        <w:t xml:space="preserve"> &lt;7,5 mm min 750 N  </w:t>
      </w:r>
    </w:p>
    <w:p w:rsidR="006B0902" w:rsidRPr="006B0902" w:rsidRDefault="0076257E" w:rsidP="0076257E">
      <w:pPr>
        <w:spacing w:after="0"/>
        <w:ind w:left="1416" w:hanging="1416"/>
        <w:jc w:val="both"/>
        <w:rPr>
          <w:rFonts w:cs="Calibri"/>
          <w:bCs/>
        </w:rPr>
      </w:pPr>
      <w:r>
        <w:rPr>
          <w:rFonts w:cs="Calibri"/>
          <w:bCs/>
        </w:rPr>
        <w:tab/>
      </w:r>
      <w:r>
        <w:rPr>
          <w:rFonts w:cs="Calibri"/>
          <w:bCs/>
        </w:rPr>
        <w:tab/>
      </w:r>
      <w:r>
        <w:rPr>
          <w:rFonts w:cs="Calibri"/>
          <w:bCs/>
        </w:rPr>
        <w:tab/>
      </w:r>
      <w:r>
        <w:rPr>
          <w:rFonts w:cs="Calibri"/>
          <w:bCs/>
        </w:rPr>
        <w:tab/>
      </w:r>
      <w:r>
        <w:rPr>
          <w:rFonts w:cs="Calibri"/>
          <w:bCs/>
        </w:rPr>
        <w:tab/>
      </w:r>
      <w:r>
        <w:rPr>
          <w:rFonts w:cs="Calibri"/>
          <w:bCs/>
        </w:rPr>
        <w:tab/>
      </w:r>
      <w:r>
        <w:rPr>
          <w:rFonts w:cs="Calibri"/>
          <w:bCs/>
        </w:rPr>
        <w:tab/>
      </w:r>
      <w:r>
        <w:rPr>
          <w:rFonts w:cs="Calibri"/>
          <w:bCs/>
        </w:rPr>
        <w:tab/>
      </w:r>
      <w:r>
        <w:rPr>
          <w:rFonts w:cs="Calibri"/>
          <w:bCs/>
        </w:rPr>
        <w:tab/>
      </w:r>
      <w:r w:rsidR="006B0902" w:rsidRPr="006B0902">
        <w:rPr>
          <w:rFonts w:cs="Calibri"/>
          <w:bCs/>
        </w:rPr>
        <w:t>&gt;7,5 mm min 1300 N</w:t>
      </w:r>
    </w:p>
    <w:p w:rsidR="0076257E" w:rsidRDefault="006B0902" w:rsidP="006B0902">
      <w:pPr>
        <w:spacing w:after="0"/>
        <w:jc w:val="both"/>
        <w:rPr>
          <w:rFonts w:cs="Calibri"/>
          <w:bCs/>
        </w:rPr>
      </w:pPr>
      <w:proofErr w:type="spellStart"/>
      <w:r w:rsidRPr="006B0902">
        <w:rPr>
          <w:rFonts w:cs="Calibri"/>
          <w:bCs/>
        </w:rPr>
        <w:t>Współcz</w:t>
      </w:r>
      <w:proofErr w:type="spellEnd"/>
      <w:r w:rsidRPr="006B0902">
        <w:rPr>
          <w:rFonts w:cs="Calibri"/>
          <w:bCs/>
        </w:rPr>
        <w:t xml:space="preserve">. </w:t>
      </w:r>
      <w:r w:rsidR="0076257E" w:rsidRPr="006B0902">
        <w:rPr>
          <w:rFonts w:cs="Calibri"/>
          <w:bCs/>
        </w:rPr>
        <w:t>cieplnej</w:t>
      </w:r>
      <w:r w:rsidRPr="006B0902">
        <w:rPr>
          <w:rFonts w:cs="Calibri"/>
          <w:bCs/>
        </w:rPr>
        <w:t xml:space="preserve"> rozszerzalności</w:t>
      </w:r>
    </w:p>
    <w:p w:rsidR="006B0902" w:rsidRPr="006B0902" w:rsidRDefault="006B0902" w:rsidP="006B0902">
      <w:pPr>
        <w:spacing w:after="0"/>
        <w:jc w:val="both"/>
        <w:rPr>
          <w:rFonts w:cs="Calibri"/>
          <w:bCs/>
        </w:rPr>
      </w:pPr>
      <w:r w:rsidRPr="006B0902">
        <w:rPr>
          <w:rFonts w:cs="Calibri"/>
          <w:bCs/>
        </w:rPr>
        <w:t xml:space="preserve"> liniowej 10-6/</w:t>
      </w:r>
      <w:proofErr w:type="spellStart"/>
      <w:r w:rsidRPr="006B0902">
        <w:rPr>
          <w:rFonts w:cs="Calibri"/>
          <w:bCs/>
        </w:rPr>
        <w:t>oC</w:t>
      </w:r>
      <w:proofErr w:type="spellEnd"/>
      <w:r w:rsidRPr="006B0902">
        <w:rPr>
          <w:rFonts w:cs="Calibri"/>
          <w:bCs/>
        </w:rPr>
        <w:t xml:space="preserve">   </w:t>
      </w:r>
      <w:r w:rsidR="0076257E">
        <w:rPr>
          <w:rFonts w:cs="Calibri"/>
          <w:bCs/>
        </w:rPr>
        <w:tab/>
      </w:r>
      <w:r w:rsidR="0076257E">
        <w:rPr>
          <w:rFonts w:cs="Calibri"/>
          <w:bCs/>
        </w:rPr>
        <w:tab/>
      </w:r>
      <w:r w:rsidR="0076257E">
        <w:rPr>
          <w:rFonts w:cs="Calibri"/>
          <w:bCs/>
        </w:rPr>
        <w:tab/>
      </w:r>
      <w:r w:rsidR="0076257E">
        <w:rPr>
          <w:rFonts w:cs="Calibri"/>
          <w:bCs/>
        </w:rPr>
        <w:tab/>
      </w:r>
      <w:r w:rsidRPr="006B0902">
        <w:rPr>
          <w:rFonts w:cs="Calibri"/>
          <w:bCs/>
        </w:rPr>
        <w:t xml:space="preserve">PN-EN ISO 10545-8 </w:t>
      </w:r>
      <w:r w:rsidR="0076257E">
        <w:rPr>
          <w:rFonts w:cs="Calibri"/>
          <w:bCs/>
        </w:rPr>
        <w:tab/>
      </w:r>
      <w:r w:rsidR="0076257E">
        <w:rPr>
          <w:rFonts w:cs="Calibri"/>
          <w:bCs/>
        </w:rPr>
        <w:tab/>
      </w:r>
      <w:r w:rsidRPr="006B0902">
        <w:rPr>
          <w:rFonts w:cs="Calibri"/>
          <w:bCs/>
        </w:rPr>
        <w:t>&lt;9</w:t>
      </w:r>
    </w:p>
    <w:p w:rsidR="006B0902" w:rsidRPr="006B0902" w:rsidRDefault="006B0902" w:rsidP="006B0902">
      <w:pPr>
        <w:spacing w:after="0"/>
        <w:jc w:val="both"/>
        <w:rPr>
          <w:rFonts w:cs="Calibri"/>
          <w:bCs/>
        </w:rPr>
      </w:pPr>
      <w:proofErr w:type="gramStart"/>
      <w:r w:rsidRPr="006B0902">
        <w:rPr>
          <w:rFonts w:cs="Calibri"/>
          <w:bCs/>
        </w:rPr>
        <w:t xml:space="preserve">Mrozoodporność  </w:t>
      </w:r>
      <w:r w:rsidR="0076257E">
        <w:rPr>
          <w:rFonts w:cs="Calibri"/>
          <w:bCs/>
        </w:rPr>
        <w:tab/>
      </w:r>
      <w:proofErr w:type="gramEnd"/>
      <w:r w:rsidR="0076257E">
        <w:rPr>
          <w:rFonts w:cs="Calibri"/>
          <w:bCs/>
        </w:rPr>
        <w:tab/>
      </w:r>
      <w:r w:rsidR="0076257E">
        <w:rPr>
          <w:rFonts w:cs="Calibri"/>
          <w:bCs/>
        </w:rPr>
        <w:tab/>
      </w:r>
      <w:r w:rsidR="0076257E">
        <w:rPr>
          <w:rFonts w:cs="Calibri"/>
          <w:bCs/>
        </w:rPr>
        <w:tab/>
      </w:r>
      <w:r w:rsidRPr="006B0902">
        <w:rPr>
          <w:rFonts w:cs="Calibri"/>
          <w:bCs/>
        </w:rPr>
        <w:t xml:space="preserve">PN-EN ISO 10545-12 </w:t>
      </w:r>
      <w:r w:rsidR="0076257E">
        <w:rPr>
          <w:rFonts w:cs="Calibri"/>
          <w:bCs/>
        </w:rPr>
        <w:tab/>
      </w:r>
      <w:r w:rsidR="0076257E">
        <w:rPr>
          <w:rFonts w:cs="Calibri"/>
          <w:bCs/>
        </w:rPr>
        <w:tab/>
      </w:r>
      <w:r w:rsidRPr="006B0902">
        <w:rPr>
          <w:rFonts w:cs="Calibri"/>
          <w:bCs/>
        </w:rPr>
        <w:t>mrozoodporne</w:t>
      </w:r>
    </w:p>
    <w:p w:rsidR="006B0902" w:rsidRPr="006B0902" w:rsidRDefault="006B0902" w:rsidP="006B0902">
      <w:pPr>
        <w:spacing w:after="0"/>
        <w:jc w:val="both"/>
        <w:rPr>
          <w:rFonts w:cs="Calibri"/>
          <w:bCs/>
        </w:rPr>
      </w:pPr>
      <w:r w:rsidRPr="006B0902">
        <w:rPr>
          <w:rFonts w:cs="Calibri"/>
          <w:bCs/>
        </w:rPr>
        <w:t>Odporność na ścieranie wgłębne mm</w:t>
      </w:r>
      <w:proofErr w:type="gramStart"/>
      <w:r w:rsidRPr="006B0902">
        <w:rPr>
          <w:rFonts w:cs="Calibri"/>
          <w:bCs/>
        </w:rPr>
        <w:t xml:space="preserve">3  </w:t>
      </w:r>
      <w:r w:rsidR="0076257E">
        <w:rPr>
          <w:rFonts w:cs="Calibri"/>
          <w:bCs/>
        </w:rPr>
        <w:tab/>
      </w:r>
      <w:proofErr w:type="gramEnd"/>
      <w:r w:rsidR="0076257E">
        <w:rPr>
          <w:rFonts w:cs="Calibri"/>
          <w:bCs/>
        </w:rPr>
        <w:tab/>
      </w:r>
      <w:r w:rsidRPr="006B0902">
        <w:rPr>
          <w:rFonts w:cs="Calibri"/>
          <w:bCs/>
        </w:rPr>
        <w:t xml:space="preserve">PN-EN ISO 10545-6 </w:t>
      </w:r>
      <w:r w:rsidR="0076257E">
        <w:rPr>
          <w:rFonts w:cs="Calibri"/>
          <w:bCs/>
        </w:rPr>
        <w:tab/>
      </w:r>
      <w:r w:rsidR="0076257E">
        <w:rPr>
          <w:rFonts w:cs="Calibri"/>
          <w:bCs/>
        </w:rPr>
        <w:tab/>
      </w:r>
      <w:r w:rsidRPr="006B0902">
        <w:rPr>
          <w:rFonts w:cs="Calibri"/>
          <w:bCs/>
        </w:rPr>
        <w:t>max 175</w:t>
      </w:r>
    </w:p>
    <w:p w:rsidR="0076257E" w:rsidRDefault="006B0902" w:rsidP="006B0902">
      <w:pPr>
        <w:spacing w:after="0"/>
        <w:jc w:val="both"/>
        <w:rPr>
          <w:rFonts w:cs="Calibri"/>
          <w:bCs/>
        </w:rPr>
      </w:pPr>
      <w:r w:rsidRPr="006B0902">
        <w:rPr>
          <w:rFonts w:cs="Calibri"/>
          <w:bCs/>
        </w:rPr>
        <w:t>Odporność na działanie środków</w:t>
      </w:r>
    </w:p>
    <w:p w:rsidR="006B0902" w:rsidRPr="006B0902" w:rsidRDefault="006B0902" w:rsidP="006B0902">
      <w:pPr>
        <w:spacing w:after="0"/>
        <w:jc w:val="both"/>
        <w:rPr>
          <w:rFonts w:cs="Calibri"/>
          <w:bCs/>
        </w:rPr>
      </w:pPr>
      <w:r w:rsidRPr="006B0902">
        <w:rPr>
          <w:rFonts w:cs="Calibri"/>
          <w:bCs/>
        </w:rPr>
        <w:t xml:space="preserve"> domowego użytku </w:t>
      </w:r>
      <w:r w:rsidR="0076257E">
        <w:rPr>
          <w:rFonts w:cs="Calibri"/>
          <w:bCs/>
        </w:rPr>
        <w:tab/>
      </w:r>
      <w:r w:rsidR="0076257E">
        <w:rPr>
          <w:rFonts w:cs="Calibri"/>
          <w:bCs/>
        </w:rPr>
        <w:tab/>
      </w:r>
      <w:r w:rsidR="0076257E">
        <w:rPr>
          <w:rFonts w:cs="Calibri"/>
          <w:bCs/>
        </w:rPr>
        <w:tab/>
      </w:r>
      <w:r w:rsidR="0076257E">
        <w:rPr>
          <w:rFonts w:cs="Calibri"/>
          <w:bCs/>
        </w:rPr>
        <w:tab/>
      </w:r>
      <w:r w:rsidRPr="006B0902">
        <w:rPr>
          <w:rFonts w:cs="Calibri"/>
          <w:bCs/>
        </w:rPr>
        <w:t xml:space="preserve">wg. met. badań </w:t>
      </w:r>
      <w:r w:rsidR="0076257E">
        <w:rPr>
          <w:rFonts w:cs="Calibri"/>
          <w:bCs/>
        </w:rPr>
        <w:tab/>
      </w:r>
      <w:r w:rsidR="0076257E">
        <w:rPr>
          <w:rFonts w:cs="Calibri"/>
          <w:bCs/>
        </w:rPr>
        <w:tab/>
      </w:r>
      <w:r w:rsidRPr="006B0902">
        <w:rPr>
          <w:rFonts w:cs="Calibri"/>
          <w:bCs/>
        </w:rPr>
        <w:t xml:space="preserve">min UB </w:t>
      </w:r>
    </w:p>
    <w:p w:rsidR="006B0902" w:rsidRPr="006B0902" w:rsidRDefault="006B0902" w:rsidP="006B0902">
      <w:pPr>
        <w:spacing w:after="0"/>
        <w:jc w:val="both"/>
        <w:rPr>
          <w:rFonts w:cs="Calibri"/>
          <w:bCs/>
        </w:rPr>
      </w:pPr>
      <w:r w:rsidRPr="006B0902">
        <w:rPr>
          <w:rFonts w:cs="Calibri"/>
          <w:bCs/>
        </w:rPr>
        <w:t>Odporność na plamienie wg. met. badań 3-5</w:t>
      </w:r>
    </w:p>
    <w:p w:rsidR="006B0902" w:rsidRPr="006B0902" w:rsidRDefault="006B0902" w:rsidP="006B0902">
      <w:pPr>
        <w:spacing w:after="0"/>
        <w:jc w:val="both"/>
        <w:rPr>
          <w:rFonts w:cs="Calibri"/>
          <w:bCs/>
        </w:rPr>
      </w:pPr>
      <w:r w:rsidRPr="006B0902">
        <w:rPr>
          <w:rFonts w:cs="Calibri"/>
          <w:bCs/>
        </w:rPr>
        <w:t>– PN-EN 176:1996 – Płytki i płyty ceramiczne prasowane na sucho o małej nasiąkliwości wodnej</w:t>
      </w:r>
    </w:p>
    <w:p w:rsidR="006B0902" w:rsidRPr="006B0902" w:rsidRDefault="006B0902" w:rsidP="006B0902">
      <w:pPr>
        <w:spacing w:after="0"/>
        <w:jc w:val="both"/>
        <w:rPr>
          <w:rFonts w:cs="Calibri"/>
          <w:bCs/>
        </w:rPr>
      </w:pPr>
      <w:r w:rsidRPr="006B0902">
        <w:rPr>
          <w:rFonts w:cs="Calibri"/>
          <w:bCs/>
        </w:rPr>
        <w:t>E≤3%. Grupa B I.</w:t>
      </w:r>
    </w:p>
    <w:p w:rsidR="006B0902" w:rsidRPr="006B0902" w:rsidRDefault="006B0902" w:rsidP="006B0902">
      <w:pPr>
        <w:spacing w:after="0"/>
        <w:jc w:val="both"/>
        <w:rPr>
          <w:rFonts w:cs="Calibri"/>
          <w:bCs/>
        </w:rPr>
      </w:pPr>
      <w:r w:rsidRPr="006B0902">
        <w:rPr>
          <w:rFonts w:cs="Calibri"/>
          <w:bCs/>
        </w:rPr>
        <w:t xml:space="preserve">– PN-EN 177:1997 – Płytki i płyty ceramiczne prasowane na sucho o nasiąkliwości wodnej 3%&lt;E≤6%. </w:t>
      </w:r>
    </w:p>
    <w:p w:rsidR="006B0902" w:rsidRPr="006B0902" w:rsidRDefault="006B0902" w:rsidP="006B0902">
      <w:pPr>
        <w:spacing w:after="0"/>
        <w:jc w:val="both"/>
        <w:rPr>
          <w:rFonts w:cs="Calibri"/>
          <w:bCs/>
        </w:rPr>
      </w:pPr>
      <w:r w:rsidRPr="006B0902">
        <w:rPr>
          <w:rFonts w:cs="Calibri"/>
          <w:bCs/>
        </w:rPr>
        <w:t xml:space="preserve">Grupa B </w:t>
      </w:r>
      <w:proofErr w:type="spellStart"/>
      <w:r w:rsidRPr="006B0902">
        <w:rPr>
          <w:rFonts w:cs="Calibri"/>
          <w:bCs/>
        </w:rPr>
        <w:t>IIa</w:t>
      </w:r>
      <w:proofErr w:type="spellEnd"/>
      <w:r w:rsidRPr="006B0902">
        <w:rPr>
          <w:rFonts w:cs="Calibri"/>
          <w:bCs/>
        </w:rPr>
        <w:t>.</w:t>
      </w:r>
    </w:p>
    <w:p w:rsidR="006B0902" w:rsidRPr="006B0902" w:rsidRDefault="006B0902" w:rsidP="006B0902">
      <w:pPr>
        <w:spacing w:after="0"/>
        <w:jc w:val="both"/>
        <w:rPr>
          <w:rFonts w:cs="Calibri"/>
          <w:bCs/>
        </w:rPr>
      </w:pPr>
      <w:r w:rsidRPr="006B0902">
        <w:rPr>
          <w:rFonts w:cs="Calibri"/>
          <w:bCs/>
        </w:rPr>
        <w:t xml:space="preserve">– PN-EN 178:1998 – Płytki i płyty ceramiczne prasowane na sucho o nasiąkliwości wodnej </w:t>
      </w:r>
    </w:p>
    <w:p w:rsidR="006B0902" w:rsidRDefault="006B0902" w:rsidP="006B0902">
      <w:pPr>
        <w:spacing w:after="0"/>
        <w:jc w:val="both"/>
        <w:rPr>
          <w:rFonts w:cs="Calibri"/>
          <w:bCs/>
        </w:rPr>
      </w:pPr>
      <w:r w:rsidRPr="006B0902">
        <w:rPr>
          <w:rFonts w:cs="Calibri"/>
          <w:bCs/>
        </w:rPr>
        <w:t xml:space="preserve">6%&lt;E≤10%. Grupa B </w:t>
      </w:r>
      <w:proofErr w:type="spellStart"/>
      <w:r w:rsidRPr="006B0902">
        <w:rPr>
          <w:rFonts w:cs="Calibri"/>
          <w:bCs/>
        </w:rPr>
        <w:t>IIb</w:t>
      </w:r>
      <w:proofErr w:type="spellEnd"/>
      <w:r w:rsidRPr="006B0902">
        <w:rPr>
          <w:rFonts w:cs="Calibri"/>
          <w:bCs/>
        </w:rPr>
        <w:t>.</w:t>
      </w:r>
    </w:p>
    <w:p w:rsidR="00652555" w:rsidRPr="00652555" w:rsidRDefault="00652555" w:rsidP="00652555">
      <w:pPr>
        <w:spacing w:after="0"/>
        <w:jc w:val="both"/>
        <w:rPr>
          <w:rFonts w:cs="Calibri"/>
          <w:bCs/>
        </w:rPr>
      </w:pPr>
      <w:r w:rsidRPr="00652555">
        <w:rPr>
          <w:rFonts w:cs="Calibri"/>
          <w:bCs/>
        </w:rPr>
        <w:t xml:space="preserve">– PN-EN 159:1996 – Płytki i płyty ceramiczne prasowane na sucho o nasiąkliwości wodnej E&gt;10%. </w:t>
      </w:r>
    </w:p>
    <w:p w:rsidR="006B0902" w:rsidRDefault="00652555" w:rsidP="00652555">
      <w:pPr>
        <w:spacing w:after="0"/>
        <w:jc w:val="both"/>
        <w:rPr>
          <w:rFonts w:cs="Calibri"/>
          <w:bCs/>
        </w:rPr>
      </w:pPr>
      <w:r w:rsidRPr="00652555">
        <w:rPr>
          <w:rFonts w:cs="Calibri"/>
          <w:bCs/>
        </w:rPr>
        <w:t>Grupa B III</w:t>
      </w:r>
    </w:p>
    <w:p w:rsidR="00DA7928" w:rsidRDefault="00DA7928" w:rsidP="00652555">
      <w:pPr>
        <w:spacing w:after="0"/>
        <w:jc w:val="both"/>
        <w:rPr>
          <w:rFonts w:cs="Calibri"/>
          <w:bCs/>
        </w:rPr>
      </w:pPr>
    </w:p>
    <w:p w:rsidR="00652555" w:rsidRPr="00955831" w:rsidRDefault="00652555" w:rsidP="00955831">
      <w:pPr>
        <w:pStyle w:val="Akapitzlist"/>
        <w:numPr>
          <w:ilvl w:val="1"/>
          <w:numId w:val="18"/>
        </w:numPr>
        <w:spacing w:after="0"/>
        <w:jc w:val="both"/>
        <w:rPr>
          <w:rFonts w:cs="Calibri"/>
          <w:b/>
          <w:bCs/>
        </w:rPr>
      </w:pPr>
      <w:r w:rsidRPr="00955831">
        <w:rPr>
          <w:rFonts w:cs="Calibri"/>
          <w:b/>
          <w:bCs/>
        </w:rPr>
        <w:t>Kompozycje klejące i zaprawy do spoinowania</w:t>
      </w:r>
    </w:p>
    <w:p w:rsidR="009125E4" w:rsidRPr="009125E4" w:rsidRDefault="009125E4" w:rsidP="009125E4">
      <w:pPr>
        <w:spacing w:after="0"/>
        <w:jc w:val="both"/>
        <w:rPr>
          <w:rFonts w:cs="Calibri"/>
          <w:bCs/>
        </w:rPr>
      </w:pPr>
      <w:r w:rsidRPr="009125E4">
        <w:rPr>
          <w:rFonts w:cs="Calibri"/>
          <w:bCs/>
        </w:rPr>
        <w:t>Zaprawy klejowe winny spełniać wymagania normy PN-B-10107:1998</w:t>
      </w:r>
    </w:p>
    <w:p w:rsidR="009125E4" w:rsidRPr="009125E4" w:rsidRDefault="009125E4" w:rsidP="009125E4">
      <w:pPr>
        <w:spacing w:after="0"/>
        <w:jc w:val="both"/>
        <w:rPr>
          <w:rFonts w:cs="Calibri"/>
          <w:bCs/>
        </w:rPr>
      </w:pPr>
      <w:r w:rsidRPr="009125E4">
        <w:rPr>
          <w:rFonts w:cs="Calibri"/>
          <w:bCs/>
        </w:rPr>
        <w:t>W przypadku stosowania zapraw cementowych należy stosować zaprawy marki min M4 (podkład obrzutka cementowa zaprawa marki M7-M15).</w:t>
      </w:r>
    </w:p>
    <w:p w:rsidR="009125E4" w:rsidRPr="009125E4" w:rsidRDefault="009125E4" w:rsidP="009125E4">
      <w:pPr>
        <w:spacing w:after="0"/>
        <w:jc w:val="both"/>
        <w:rPr>
          <w:rFonts w:cs="Calibri"/>
          <w:bCs/>
        </w:rPr>
      </w:pPr>
      <w:r w:rsidRPr="009125E4">
        <w:rPr>
          <w:rFonts w:cs="Calibri"/>
          <w:bCs/>
        </w:rPr>
        <w:t>Zaleca się stosowanie zapraw klejowych w postaci fabrycznie przygotowanych suchych mieszanek spoiwa cementowego (z dodatkami) do zarobienia wodą lub roztworem wodnym wskazanym przez dostawcę.</w:t>
      </w:r>
    </w:p>
    <w:p w:rsidR="009125E4" w:rsidRPr="009125E4" w:rsidRDefault="009125E4" w:rsidP="009125E4">
      <w:pPr>
        <w:spacing w:after="0"/>
        <w:jc w:val="both"/>
        <w:rPr>
          <w:rFonts w:cs="Calibri"/>
          <w:bCs/>
        </w:rPr>
      </w:pPr>
      <w:r w:rsidRPr="009125E4">
        <w:rPr>
          <w:rFonts w:cs="Calibri"/>
          <w:bCs/>
        </w:rPr>
        <w:t>Grubość warstwy zaprawy nie powinna przekraczać 8mm -</w:t>
      </w:r>
      <w:proofErr w:type="gramStart"/>
      <w:r w:rsidRPr="009125E4">
        <w:rPr>
          <w:rFonts w:cs="Calibri"/>
          <w:bCs/>
        </w:rPr>
        <w:t>zalecana  5</w:t>
      </w:r>
      <w:proofErr w:type="gramEnd"/>
      <w:r w:rsidRPr="009125E4">
        <w:rPr>
          <w:rFonts w:cs="Calibri"/>
          <w:bCs/>
        </w:rPr>
        <w:t>mm.</w:t>
      </w:r>
    </w:p>
    <w:p w:rsidR="009125E4" w:rsidRPr="009125E4" w:rsidRDefault="009125E4" w:rsidP="009125E4">
      <w:pPr>
        <w:spacing w:after="0"/>
        <w:jc w:val="both"/>
        <w:rPr>
          <w:rFonts w:cs="Calibri"/>
          <w:bCs/>
        </w:rPr>
      </w:pPr>
      <w:r w:rsidRPr="009125E4">
        <w:rPr>
          <w:rFonts w:cs="Calibri"/>
          <w:bCs/>
        </w:rPr>
        <w:t>•</w:t>
      </w:r>
      <w:r w:rsidRPr="009125E4">
        <w:rPr>
          <w:rFonts w:cs="Calibri"/>
          <w:bCs/>
        </w:rPr>
        <w:tab/>
        <w:t xml:space="preserve">Do klejenia płytek </w:t>
      </w:r>
      <w:bookmarkStart w:id="0" w:name="_GoBack"/>
      <w:bookmarkEnd w:id="0"/>
      <w:r w:rsidRPr="009125E4">
        <w:rPr>
          <w:rFonts w:cs="Calibri"/>
          <w:bCs/>
        </w:rPr>
        <w:t xml:space="preserve">zaleca się stosowanie specjalnie do tego celu przeznaczonych zapraw klejowych. </w:t>
      </w:r>
    </w:p>
    <w:p w:rsidR="009125E4" w:rsidRPr="009125E4" w:rsidRDefault="009125E4" w:rsidP="009125E4">
      <w:pPr>
        <w:spacing w:after="0"/>
        <w:jc w:val="both"/>
        <w:rPr>
          <w:rFonts w:cs="Calibri"/>
          <w:bCs/>
        </w:rPr>
      </w:pPr>
      <w:r w:rsidRPr="009125E4">
        <w:rPr>
          <w:rFonts w:cs="Calibri"/>
          <w:bCs/>
        </w:rPr>
        <w:t>•</w:t>
      </w:r>
      <w:r w:rsidRPr="009125E4">
        <w:rPr>
          <w:rFonts w:cs="Calibri"/>
          <w:bCs/>
        </w:rPr>
        <w:tab/>
        <w:t xml:space="preserve">Do fugowania płytek zaleca się stosowanie gotowych zapraw do fugowania przeznaczonych do spoin od 2 do 6mm. </w:t>
      </w:r>
    </w:p>
    <w:p w:rsidR="009125E4" w:rsidRPr="009125E4" w:rsidRDefault="009125E4" w:rsidP="009125E4">
      <w:pPr>
        <w:spacing w:after="0"/>
        <w:jc w:val="both"/>
        <w:rPr>
          <w:rFonts w:cs="Calibri"/>
          <w:bCs/>
        </w:rPr>
      </w:pPr>
      <w:r w:rsidRPr="009125E4">
        <w:rPr>
          <w:rFonts w:cs="Calibri"/>
          <w:bCs/>
        </w:rPr>
        <w:t>Zaprawa winna mieć jednakowy skład i barwę w całej masie oraz powinna zachowywać wymagane właściwości przez cały okres przydatności do użycia.</w:t>
      </w:r>
    </w:p>
    <w:p w:rsidR="006C401A" w:rsidRDefault="009125E4" w:rsidP="009125E4">
      <w:pPr>
        <w:spacing w:after="0"/>
        <w:jc w:val="both"/>
        <w:rPr>
          <w:rFonts w:cs="Calibri"/>
          <w:bCs/>
        </w:rPr>
      </w:pPr>
      <w:r w:rsidRPr="009125E4">
        <w:rPr>
          <w:rFonts w:cs="Calibri"/>
          <w:bCs/>
        </w:rPr>
        <w:t>Uziarnienie wypełniaczy nie powinno być większe niż:</w:t>
      </w:r>
    </w:p>
    <w:p w:rsidR="009125E4" w:rsidRPr="009125E4" w:rsidRDefault="009125E4" w:rsidP="009125E4">
      <w:pPr>
        <w:spacing w:after="0"/>
        <w:jc w:val="both"/>
        <w:rPr>
          <w:rFonts w:cs="Calibri"/>
          <w:bCs/>
        </w:rPr>
      </w:pPr>
      <w:r w:rsidRPr="009125E4">
        <w:rPr>
          <w:rFonts w:cs="Calibri"/>
          <w:bCs/>
        </w:rPr>
        <w:t>•</w:t>
      </w:r>
      <w:r w:rsidR="007E0E5F">
        <w:rPr>
          <w:rFonts w:cs="Calibri"/>
          <w:bCs/>
        </w:rPr>
        <w:tab/>
      </w:r>
      <w:smartTag w:uri="urn:schemas-microsoft-com:office:smarttags" w:element="metricconverter">
        <w:smartTagPr>
          <w:attr w:name="ProductID" w:val="1,0 mm"/>
        </w:smartTagPr>
        <w:r w:rsidRPr="009125E4">
          <w:rPr>
            <w:rFonts w:cs="Calibri"/>
            <w:bCs/>
          </w:rPr>
          <w:t>1,0 mm</w:t>
        </w:r>
      </w:smartTag>
      <w:r w:rsidRPr="009125E4">
        <w:rPr>
          <w:rFonts w:cs="Calibri"/>
          <w:bCs/>
        </w:rPr>
        <w:t xml:space="preserve"> - w przypadku zapraw o grubości do 5mm</w:t>
      </w:r>
    </w:p>
    <w:p w:rsidR="009125E4" w:rsidRPr="009125E4" w:rsidRDefault="009125E4" w:rsidP="009125E4">
      <w:pPr>
        <w:spacing w:after="0"/>
        <w:jc w:val="both"/>
        <w:rPr>
          <w:rFonts w:cs="Calibri"/>
          <w:bCs/>
        </w:rPr>
      </w:pPr>
      <w:r w:rsidRPr="009125E4">
        <w:rPr>
          <w:rFonts w:cs="Calibri"/>
          <w:bCs/>
        </w:rPr>
        <w:t>•</w:t>
      </w:r>
      <w:r w:rsidR="007E0E5F">
        <w:rPr>
          <w:rFonts w:cs="Calibri"/>
          <w:bCs/>
        </w:rPr>
        <w:tab/>
      </w:r>
      <w:smartTag w:uri="urn:schemas-microsoft-com:office:smarttags" w:element="metricconverter">
        <w:smartTagPr>
          <w:attr w:name="ProductID" w:val="2,0 mm"/>
        </w:smartTagPr>
        <w:r w:rsidRPr="009125E4">
          <w:rPr>
            <w:rFonts w:cs="Calibri"/>
            <w:bCs/>
          </w:rPr>
          <w:t>2,0 mm</w:t>
        </w:r>
      </w:smartTag>
      <w:r w:rsidRPr="009125E4">
        <w:rPr>
          <w:rFonts w:cs="Calibri"/>
          <w:bCs/>
        </w:rPr>
        <w:t xml:space="preserve"> - w przypadku zapraw o grubości do 8mm</w:t>
      </w:r>
    </w:p>
    <w:p w:rsidR="009125E4" w:rsidRPr="009125E4" w:rsidRDefault="009125E4" w:rsidP="009125E4">
      <w:pPr>
        <w:spacing w:after="0"/>
        <w:jc w:val="both"/>
        <w:rPr>
          <w:rFonts w:cs="Calibri"/>
          <w:bCs/>
        </w:rPr>
      </w:pPr>
      <w:r w:rsidRPr="009125E4">
        <w:rPr>
          <w:rFonts w:cs="Calibri"/>
          <w:bCs/>
        </w:rPr>
        <w:t>Udział nadziarna w obydwu typach nie powinien przekraczać 1,0%.</w:t>
      </w:r>
    </w:p>
    <w:p w:rsidR="009125E4" w:rsidRPr="009125E4" w:rsidRDefault="009125E4" w:rsidP="009125E4">
      <w:pPr>
        <w:spacing w:after="0"/>
        <w:jc w:val="both"/>
        <w:rPr>
          <w:rFonts w:cs="Calibri"/>
          <w:bCs/>
        </w:rPr>
      </w:pPr>
      <w:r w:rsidRPr="009125E4">
        <w:rPr>
          <w:rFonts w:cs="Calibri"/>
          <w:bCs/>
        </w:rPr>
        <w:t>Zaprawa sucha nie powinna zawierać zbryleń większych niż 2,0mm. Zaprawa po zarobieniu wodą lub roztworem winna mieć jednolitą barwę i skład w całej masie, nie powinna zawierać grudek i zanieczyszczeń. Nie powinna być widoczna woda oddzielająca się na powierzchni zaprawy. Zaprawa powinna być łatwa do rozprowadzania równomierną warstwą na podłożu wzorcowym, za pomocą pacy metalowej.</w:t>
      </w:r>
    </w:p>
    <w:p w:rsidR="009125E4" w:rsidRPr="009125E4" w:rsidRDefault="009125E4" w:rsidP="009125E4">
      <w:pPr>
        <w:spacing w:after="0"/>
        <w:jc w:val="both"/>
        <w:rPr>
          <w:rFonts w:cs="Calibri"/>
          <w:bCs/>
        </w:rPr>
      </w:pPr>
      <w:r w:rsidRPr="009125E4">
        <w:rPr>
          <w:rFonts w:cs="Calibri"/>
          <w:bCs/>
        </w:rPr>
        <w:t>Należy ściśle przestrzegać dopuszczalnych terminów przechowywania zapraw.</w:t>
      </w:r>
    </w:p>
    <w:p w:rsidR="009125E4" w:rsidRPr="009125E4" w:rsidRDefault="009125E4" w:rsidP="009125E4">
      <w:pPr>
        <w:spacing w:after="0"/>
        <w:jc w:val="both"/>
        <w:rPr>
          <w:rFonts w:cs="Calibri"/>
          <w:bCs/>
        </w:rPr>
      </w:pPr>
      <w:r w:rsidRPr="009125E4">
        <w:rPr>
          <w:rFonts w:cs="Calibri"/>
          <w:bCs/>
        </w:rPr>
        <w:t xml:space="preserve">Zaprawa do klejenia płytek </w:t>
      </w:r>
      <w:proofErr w:type="spellStart"/>
      <w:r w:rsidRPr="009125E4">
        <w:rPr>
          <w:rFonts w:cs="Calibri"/>
          <w:bCs/>
        </w:rPr>
        <w:t>gresowych</w:t>
      </w:r>
      <w:proofErr w:type="spellEnd"/>
      <w:r w:rsidRPr="009125E4">
        <w:rPr>
          <w:rFonts w:cs="Calibri"/>
          <w:bCs/>
        </w:rPr>
        <w:t xml:space="preserve"> lub terakotowych: </w:t>
      </w:r>
    </w:p>
    <w:p w:rsidR="009125E4" w:rsidRPr="009125E4" w:rsidRDefault="009125E4" w:rsidP="009125E4">
      <w:pPr>
        <w:spacing w:after="0"/>
        <w:jc w:val="both"/>
        <w:rPr>
          <w:rFonts w:cs="Calibri"/>
          <w:bCs/>
        </w:rPr>
      </w:pPr>
      <w:r w:rsidRPr="009125E4">
        <w:rPr>
          <w:rFonts w:cs="Calibri"/>
          <w:bCs/>
        </w:rPr>
        <w:t>Dane techniczne:</w:t>
      </w:r>
    </w:p>
    <w:p w:rsidR="009125E4" w:rsidRPr="009125E4" w:rsidRDefault="009125E4" w:rsidP="009125E4">
      <w:pPr>
        <w:spacing w:after="0"/>
        <w:jc w:val="both"/>
        <w:rPr>
          <w:rFonts w:cs="Calibri"/>
          <w:bCs/>
        </w:rPr>
      </w:pPr>
      <w:r w:rsidRPr="009125E4">
        <w:rPr>
          <w:rFonts w:cs="Calibri"/>
          <w:bCs/>
        </w:rPr>
        <w:t xml:space="preserve">Baza: </w:t>
      </w:r>
      <w:r w:rsidRPr="009125E4">
        <w:rPr>
          <w:rFonts w:cs="Calibri"/>
          <w:bCs/>
        </w:rPr>
        <w:tab/>
      </w:r>
      <w:r w:rsidRPr="009125E4">
        <w:rPr>
          <w:rFonts w:cs="Calibri"/>
          <w:bCs/>
        </w:rPr>
        <w:tab/>
      </w:r>
      <w:r w:rsidRPr="009125E4">
        <w:rPr>
          <w:rFonts w:cs="Calibri"/>
          <w:bCs/>
        </w:rPr>
        <w:tab/>
      </w:r>
      <w:r w:rsidRPr="009125E4">
        <w:rPr>
          <w:rFonts w:cs="Calibri"/>
          <w:bCs/>
        </w:rPr>
        <w:tab/>
      </w:r>
      <w:r w:rsidRPr="009125E4">
        <w:rPr>
          <w:rFonts w:cs="Calibri"/>
          <w:bCs/>
        </w:rPr>
        <w:tab/>
        <w:t>mieszanka cementów z wypełniaczami mineralnymi</w:t>
      </w:r>
    </w:p>
    <w:p w:rsidR="009125E4" w:rsidRPr="009125E4" w:rsidRDefault="009125E4" w:rsidP="009125E4">
      <w:pPr>
        <w:spacing w:after="0"/>
        <w:jc w:val="both"/>
        <w:rPr>
          <w:rFonts w:cs="Calibri"/>
          <w:bCs/>
        </w:rPr>
      </w:pPr>
      <w:r w:rsidRPr="009125E4">
        <w:rPr>
          <w:rFonts w:cs="Calibri"/>
          <w:bCs/>
        </w:rPr>
        <w:lastRenderedPageBreak/>
        <w:t>i modyfikatorami</w:t>
      </w:r>
    </w:p>
    <w:p w:rsidR="009125E4" w:rsidRPr="009125E4" w:rsidRDefault="009125E4" w:rsidP="009125E4">
      <w:pPr>
        <w:spacing w:after="0"/>
        <w:jc w:val="both"/>
        <w:rPr>
          <w:rFonts w:cs="Calibri"/>
          <w:bCs/>
        </w:rPr>
      </w:pPr>
      <w:r w:rsidRPr="009125E4">
        <w:rPr>
          <w:rFonts w:cs="Calibri"/>
          <w:bCs/>
        </w:rPr>
        <w:t xml:space="preserve">Gęstość nasypowa: </w:t>
      </w:r>
      <w:r w:rsidRPr="009125E4">
        <w:rPr>
          <w:rFonts w:cs="Calibri"/>
          <w:bCs/>
        </w:rPr>
        <w:tab/>
      </w:r>
      <w:r w:rsidRPr="009125E4">
        <w:rPr>
          <w:rFonts w:cs="Calibri"/>
          <w:bCs/>
        </w:rPr>
        <w:tab/>
      </w:r>
      <w:r w:rsidRPr="009125E4">
        <w:rPr>
          <w:rFonts w:cs="Calibri"/>
          <w:bCs/>
        </w:rPr>
        <w:tab/>
        <w:t>ok. 1,23 kg/dm3</w:t>
      </w:r>
    </w:p>
    <w:p w:rsidR="009125E4" w:rsidRPr="009125E4" w:rsidRDefault="009125E4" w:rsidP="009125E4">
      <w:pPr>
        <w:spacing w:after="0"/>
        <w:jc w:val="both"/>
        <w:rPr>
          <w:rFonts w:cs="Calibri"/>
          <w:bCs/>
        </w:rPr>
      </w:pPr>
      <w:r w:rsidRPr="009125E4">
        <w:rPr>
          <w:rFonts w:cs="Calibri"/>
          <w:bCs/>
        </w:rPr>
        <w:t>Proporcje mieszania:</w:t>
      </w:r>
      <w:r w:rsidRPr="009125E4">
        <w:rPr>
          <w:rFonts w:cs="Calibri"/>
          <w:bCs/>
        </w:rPr>
        <w:tab/>
      </w:r>
      <w:r w:rsidRPr="009125E4">
        <w:rPr>
          <w:rFonts w:cs="Calibri"/>
          <w:bCs/>
        </w:rPr>
        <w:tab/>
        <w:t xml:space="preserve"> </w:t>
      </w:r>
      <w:r w:rsidRPr="009125E4">
        <w:rPr>
          <w:rFonts w:cs="Calibri"/>
          <w:bCs/>
        </w:rPr>
        <w:tab/>
      </w:r>
      <w:smartTag w:uri="urn:schemas-microsoft-com:office:smarttags" w:element="metricconverter">
        <w:smartTagPr>
          <w:attr w:name="ProductID" w:val="6,5 l"/>
        </w:smartTagPr>
        <w:r w:rsidRPr="009125E4">
          <w:rPr>
            <w:rFonts w:cs="Calibri"/>
            <w:bCs/>
          </w:rPr>
          <w:t>6,5 l</w:t>
        </w:r>
      </w:smartTag>
      <w:r w:rsidRPr="009125E4">
        <w:rPr>
          <w:rFonts w:cs="Calibri"/>
          <w:bCs/>
        </w:rPr>
        <w:t xml:space="preserve"> na 25kg</w:t>
      </w:r>
    </w:p>
    <w:p w:rsidR="009125E4" w:rsidRPr="009125E4" w:rsidRDefault="009125E4" w:rsidP="009125E4">
      <w:pPr>
        <w:spacing w:after="0"/>
        <w:ind w:left="2832" w:firstLine="708"/>
        <w:jc w:val="both"/>
        <w:rPr>
          <w:rFonts w:cs="Calibri"/>
          <w:bCs/>
        </w:rPr>
      </w:pPr>
      <w:smartTag w:uri="urn:schemas-microsoft-com:office:smarttags" w:element="metricconverter">
        <w:smartTagPr>
          <w:attr w:name="ProductID" w:val="2,0 l"/>
        </w:smartTagPr>
        <w:r w:rsidRPr="009125E4">
          <w:rPr>
            <w:rFonts w:cs="Calibri"/>
            <w:bCs/>
          </w:rPr>
          <w:t>2,0 l</w:t>
        </w:r>
      </w:smartTag>
      <w:r w:rsidRPr="009125E4">
        <w:rPr>
          <w:rFonts w:cs="Calibri"/>
          <w:bCs/>
        </w:rPr>
        <w:t xml:space="preserve"> CC 83 + </w:t>
      </w:r>
      <w:smartTag w:uri="urn:schemas-microsoft-com:office:smarttags" w:element="metricconverter">
        <w:smartTagPr>
          <w:attr w:name="ProductID" w:val="4,5 l"/>
        </w:smartTagPr>
        <w:r w:rsidRPr="009125E4">
          <w:rPr>
            <w:rFonts w:cs="Calibri"/>
            <w:bCs/>
          </w:rPr>
          <w:t>4,5 l</w:t>
        </w:r>
      </w:smartTag>
      <w:r w:rsidRPr="009125E4">
        <w:rPr>
          <w:rFonts w:cs="Calibri"/>
          <w:bCs/>
        </w:rPr>
        <w:t xml:space="preserve"> wody)*na </w:t>
      </w:r>
      <w:smartTag w:uri="urn:schemas-microsoft-com:office:smarttags" w:element="metricconverter">
        <w:smartTagPr>
          <w:attr w:name="ProductID" w:val="25 kg"/>
        </w:smartTagPr>
        <w:r w:rsidRPr="009125E4">
          <w:rPr>
            <w:rFonts w:cs="Calibri"/>
            <w:bCs/>
          </w:rPr>
          <w:t>25 kg</w:t>
        </w:r>
      </w:smartTag>
    </w:p>
    <w:p w:rsidR="009125E4" w:rsidRPr="009125E4" w:rsidRDefault="009125E4" w:rsidP="009125E4">
      <w:pPr>
        <w:spacing w:after="0"/>
        <w:jc w:val="both"/>
        <w:rPr>
          <w:rFonts w:cs="Calibri"/>
          <w:bCs/>
        </w:rPr>
      </w:pPr>
      <w:r w:rsidRPr="009125E4">
        <w:rPr>
          <w:rFonts w:cs="Calibri"/>
          <w:bCs/>
        </w:rPr>
        <w:t xml:space="preserve">Temperatura stosowania: </w:t>
      </w:r>
      <w:r w:rsidRPr="009125E4">
        <w:rPr>
          <w:rFonts w:cs="Calibri"/>
          <w:bCs/>
        </w:rPr>
        <w:tab/>
      </w:r>
      <w:r w:rsidRPr="009125E4">
        <w:rPr>
          <w:rFonts w:cs="Calibri"/>
          <w:bCs/>
        </w:rPr>
        <w:tab/>
        <w:t>od +</w:t>
      </w:r>
      <w:smartTag w:uri="urn:schemas-microsoft-com:office:smarttags" w:element="metricconverter">
        <w:smartTagPr>
          <w:attr w:name="ProductID" w:val="5ﾰC"/>
        </w:smartTagPr>
        <w:r w:rsidRPr="009125E4">
          <w:rPr>
            <w:rFonts w:cs="Calibri"/>
            <w:bCs/>
          </w:rPr>
          <w:t>5°C</w:t>
        </w:r>
      </w:smartTag>
      <w:r w:rsidRPr="009125E4">
        <w:rPr>
          <w:rFonts w:cs="Calibri"/>
          <w:bCs/>
        </w:rPr>
        <w:t xml:space="preserve"> do +</w:t>
      </w:r>
      <w:smartTag w:uri="urn:schemas-microsoft-com:office:smarttags" w:element="metricconverter">
        <w:smartTagPr>
          <w:attr w:name="ProductID" w:val="25ﾰC"/>
        </w:smartTagPr>
        <w:r w:rsidRPr="009125E4">
          <w:rPr>
            <w:rFonts w:cs="Calibri"/>
            <w:bCs/>
          </w:rPr>
          <w:t>25°C</w:t>
        </w:r>
      </w:smartTag>
    </w:p>
    <w:p w:rsidR="009125E4" w:rsidRPr="009125E4" w:rsidRDefault="009125E4" w:rsidP="009125E4">
      <w:pPr>
        <w:spacing w:after="0"/>
        <w:jc w:val="both"/>
        <w:rPr>
          <w:rFonts w:cs="Calibri"/>
          <w:bCs/>
        </w:rPr>
      </w:pPr>
      <w:r w:rsidRPr="009125E4">
        <w:rPr>
          <w:rFonts w:cs="Calibri"/>
          <w:bCs/>
        </w:rPr>
        <w:t xml:space="preserve">Czas wstępnego dojrzewania: </w:t>
      </w:r>
      <w:r w:rsidRPr="009125E4">
        <w:rPr>
          <w:rFonts w:cs="Calibri"/>
          <w:bCs/>
        </w:rPr>
        <w:tab/>
      </w:r>
      <w:r w:rsidRPr="009125E4">
        <w:rPr>
          <w:rFonts w:cs="Calibri"/>
          <w:bCs/>
        </w:rPr>
        <w:tab/>
        <w:t>ok. 5 min.</w:t>
      </w:r>
    </w:p>
    <w:p w:rsidR="009125E4" w:rsidRPr="009125E4" w:rsidRDefault="009125E4" w:rsidP="009125E4">
      <w:pPr>
        <w:spacing w:after="0"/>
        <w:jc w:val="both"/>
        <w:rPr>
          <w:rFonts w:cs="Calibri"/>
          <w:bCs/>
        </w:rPr>
      </w:pPr>
      <w:r w:rsidRPr="009125E4">
        <w:rPr>
          <w:rFonts w:cs="Calibri"/>
          <w:bCs/>
        </w:rPr>
        <w:t xml:space="preserve">Czas zużycia: </w:t>
      </w:r>
      <w:r w:rsidRPr="009125E4">
        <w:rPr>
          <w:rFonts w:cs="Calibri"/>
          <w:bCs/>
        </w:rPr>
        <w:tab/>
      </w:r>
      <w:r w:rsidRPr="009125E4">
        <w:rPr>
          <w:rFonts w:cs="Calibri"/>
          <w:bCs/>
        </w:rPr>
        <w:tab/>
      </w:r>
      <w:r w:rsidRPr="009125E4">
        <w:rPr>
          <w:rFonts w:cs="Calibri"/>
          <w:bCs/>
        </w:rPr>
        <w:tab/>
      </w:r>
      <w:r w:rsidRPr="009125E4">
        <w:rPr>
          <w:rFonts w:cs="Calibri"/>
          <w:bCs/>
        </w:rPr>
        <w:tab/>
        <w:t>do 2 godz. (90 min)*</w:t>
      </w:r>
    </w:p>
    <w:p w:rsidR="009125E4" w:rsidRPr="009125E4" w:rsidRDefault="009125E4" w:rsidP="009125E4">
      <w:pPr>
        <w:spacing w:after="0"/>
        <w:jc w:val="both"/>
        <w:rPr>
          <w:rFonts w:cs="Calibri"/>
          <w:bCs/>
        </w:rPr>
      </w:pPr>
      <w:r w:rsidRPr="009125E4">
        <w:rPr>
          <w:rFonts w:cs="Calibri"/>
          <w:bCs/>
        </w:rPr>
        <w:t xml:space="preserve">Czas otwarty : </w:t>
      </w:r>
      <w:r w:rsidRPr="009125E4">
        <w:rPr>
          <w:rFonts w:cs="Calibri"/>
          <w:bCs/>
        </w:rPr>
        <w:tab/>
      </w:r>
      <w:r w:rsidRPr="009125E4">
        <w:rPr>
          <w:rFonts w:cs="Calibri"/>
          <w:bCs/>
        </w:rPr>
        <w:tab/>
      </w:r>
      <w:r w:rsidRPr="009125E4">
        <w:rPr>
          <w:rFonts w:cs="Calibri"/>
          <w:bCs/>
        </w:rPr>
        <w:tab/>
      </w:r>
      <w:r w:rsidRPr="009125E4">
        <w:rPr>
          <w:rFonts w:cs="Calibri"/>
          <w:bCs/>
        </w:rPr>
        <w:tab/>
        <w:t xml:space="preserve">przyczepność </w:t>
      </w:r>
      <w:r w:rsidRPr="009125E4">
        <w:rPr>
          <w:rFonts w:cs="Calibri"/>
          <w:bCs/>
        </w:rPr>
        <w:tab/>
        <w:t xml:space="preserve">? 0,5 </w:t>
      </w:r>
      <w:proofErr w:type="spellStart"/>
      <w:r w:rsidRPr="009125E4">
        <w:rPr>
          <w:rFonts w:cs="Calibri"/>
          <w:bCs/>
        </w:rPr>
        <w:t>MPa</w:t>
      </w:r>
      <w:proofErr w:type="spellEnd"/>
    </w:p>
    <w:p w:rsidR="009125E4" w:rsidRPr="009125E4" w:rsidRDefault="009125E4" w:rsidP="009125E4">
      <w:pPr>
        <w:spacing w:after="0"/>
        <w:jc w:val="both"/>
        <w:rPr>
          <w:rFonts w:cs="Calibri"/>
          <w:bCs/>
        </w:rPr>
      </w:pPr>
      <w:r w:rsidRPr="009125E4">
        <w:rPr>
          <w:rFonts w:cs="Calibri"/>
          <w:bCs/>
        </w:rPr>
        <w:t xml:space="preserve"> (wg normy PN-EN 12004):</w:t>
      </w:r>
      <w:r w:rsidRPr="009125E4">
        <w:rPr>
          <w:rFonts w:cs="Calibri"/>
          <w:bCs/>
        </w:rPr>
        <w:tab/>
      </w:r>
      <w:r w:rsidRPr="009125E4">
        <w:rPr>
          <w:rFonts w:cs="Calibri"/>
          <w:bCs/>
        </w:rPr>
        <w:tab/>
        <w:t>po czasie nie krótszym niż 30 min.</w:t>
      </w:r>
    </w:p>
    <w:p w:rsidR="009125E4" w:rsidRPr="009125E4" w:rsidRDefault="009125E4" w:rsidP="009125E4">
      <w:pPr>
        <w:spacing w:after="0"/>
        <w:jc w:val="both"/>
        <w:rPr>
          <w:rFonts w:cs="Calibri"/>
          <w:bCs/>
        </w:rPr>
      </w:pPr>
      <w:r w:rsidRPr="009125E4">
        <w:rPr>
          <w:rFonts w:cs="Calibri"/>
          <w:bCs/>
        </w:rPr>
        <w:t>Spływ</w:t>
      </w:r>
      <w:r w:rsidRPr="009125E4">
        <w:rPr>
          <w:rFonts w:cs="Calibri"/>
          <w:bCs/>
        </w:rPr>
        <w:tab/>
      </w:r>
      <w:r w:rsidRPr="009125E4">
        <w:rPr>
          <w:rFonts w:cs="Calibri"/>
          <w:bCs/>
        </w:rPr>
        <w:tab/>
      </w:r>
      <w:r w:rsidRPr="009125E4">
        <w:rPr>
          <w:rFonts w:cs="Calibri"/>
          <w:bCs/>
        </w:rPr>
        <w:tab/>
      </w:r>
      <w:r w:rsidRPr="009125E4">
        <w:rPr>
          <w:rFonts w:cs="Calibri"/>
          <w:bCs/>
        </w:rPr>
        <w:tab/>
      </w:r>
      <w:r w:rsidRPr="009125E4">
        <w:rPr>
          <w:rFonts w:cs="Calibri"/>
          <w:bCs/>
        </w:rPr>
        <w:tab/>
      </w:r>
      <w:smartTag w:uri="urn:schemas-microsoft-com:office:smarttags" w:element="metricconverter">
        <w:smartTagPr>
          <w:attr w:name="ProductID" w:val="0,5 mm"/>
        </w:smartTagPr>
        <w:r w:rsidRPr="009125E4">
          <w:rPr>
            <w:rFonts w:cs="Calibri"/>
            <w:bCs/>
          </w:rPr>
          <w:t>0,5 mm</w:t>
        </w:r>
      </w:smartTag>
    </w:p>
    <w:p w:rsidR="009125E4" w:rsidRPr="009125E4" w:rsidRDefault="009125E4" w:rsidP="009125E4">
      <w:pPr>
        <w:spacing w:after="0"/>
        <w:jc w:val="both"/>
        <w:rPr>
          <w:rFonts w:cs="Calibri"/>
          <w:bCs/>
        </w:rPr>
      </w:pPr>
      <w:r w:rsidRPr="009125E4">
        <w:rPr>
          <w:rFonts w:cs="Calibri"/>
          <w:bCs/>
        </w:rPr>
        <w:t xml:space="preserve">(wg normy PN-EN 12004): </w:t>
      </w:r>
    </w:p>
    <w:p w:rsidR="009125E4" w:rsidRPr="009125E4" w:rsidRDefault="009125E4" w:rsidP="009125E4">
      <w:pPr>
        <w:spacing w:after="0"/>
        <w:jc w:val="both"/>
        <w:rPr>
          <w:rFonts w:cs="Calibri"/>
          <w:bCs/>
        </w:rPr>
      </w:pPr>
      <w:r w:rsidRPr="009125E4">
        <w:rPr>
          <w:rFonts w:cs="Calibri"/>
          <w:bCs/>
        </w:rPr>
        <w:t xml:space="preserve">Spoinowanie: </w:t>
      </w:r>
      <w:r w:rsidRPr="009125E4">
        <w:rPr>
          <w:rFonts w:cs="Calibri"/>
          <w:bCs/>
        </w:rPr>
        <w:tab/>
      </w:r>
      <w:r w:rsidRPr="009125E4">
        <w:rPr>
          <w:rFonts w:cs="Calibri"/>
          <w:bCs/>
        </w:rPr>
        <w:tab/>
      </w:r>
      <w:r w:rsidRPr="009125E4">
        <w:rPr>
          <w:rFonts w:cs="Calibri"/>
          <w:bCs/>
        </w:rPr>
        <w:tab/>
      </w:r>
      <w:r w:rsidRPr="009125E4">
        <w:rPr>
          <w:rFonts w:cs="Calibri"/>
          <w:bCs/>
        </w:rPr>
        <w:tab/>
        <w:t>po 48 godz.</w:t>
      </w:r>
    </w:p>
    <w:p w:rsidR="009125E4" w:rsidRPr="009125E4" w:rsidRDefault="009125E4" w:rsidP="009125E4">
      <w:pPr>
        <w:spacing w:after="0"/>
        <w:jc w:val="both"/>
        <w:rPr>
          <w:rFonts w:cs="Calibri"/>
          <w:bCs/>
        </w:rPr>
      </w:pPr>
      <w:r w:rsidRPr="009125E4">
        <w:rPr>
          <w:rFonts w:cs="Calibri"/>
          <w:bCs/>
        </w:rPr>
        <w:t xml:space="preserve">Przyczepność </w:t>
      </w:r>
      <w:r w:rsidRPr="009125E4">
        <w:rPr>
          <w:rFonts w:cs="Calibri"/>
          <w:bCs/>
        </w:rPr>
        <w:tab/>
      </w:r>
      <w:r w:rsidRPr="009125E4">
        <w:rPr>
          <w:rFonts w:cs="Calibri"/>
          <w:bCs/>
        </w:rPr>
        <w:tab/>
        <w:t xml:space="preserve"> </w:t>
      </w:r>
      <w:r w:rsidRPr="009125E4">
        <w:rPr>
          <w:rFonts w:cs="Calibri"/>
          <w:bCs/>
        </w:rPr>
        <w:tab/>
      </w:r>
      <w:r w:rsidRPr="009125E4">
        <w:rPr>
          <w:rFonts w:cs="Calibri"/>
          <w:bCs/>
        </w:rPr>
        <w:tab/>
        <w:t xml:space="preserve">- początkowa:  ? 0,5 </w:t>
      </w:r>
      <w:proofErr w:type="spellStart"/>
      <w:r w:rsidRPr="009125E4">
        <w:rPr>
          <w:rFonts w:cs="Calibri"/>
          <w:bCs/>
        </w:rPr>
        <w:t>MPa</w:t>
      </w:r>
      <w:proofErr w:type="spellEnd"/>
    </w:p>
    <w:p w:rsidR="009125E4" w:rsidRPr="009125E4" w:rsidRDefault="009125E4" w:rsidP="009125E4">
      <w:pPr>
        <w:spacing w:after="0"/>
        <w:jc w:val="both"/>
        <w:rPr>
          <w:rFonts w:cs="Calibri"/>
          <w:bCs/>
        </w:rPr>
      </w:pPr>
      <w:r w:rsidRPr="009125E4">
        <w:rPr>
          <w:rFonts w:cs="Calibri"/>
          <w:bCs/>
        </w:rPr>
        <w:t xml:space="preserve">(wg normy PN-EN 12004) </w:t>
      </w:r>
      <w:r w:rsidRPr="009125E4">
        <w:rPr>
          <w:rFonts w:cs="Calibri"/>
          <w:bCs/>
        </w:rPr>
        <w:tab/>
      </w:r>
      <w:r w:rsidRPr="009125E4">
        <w:rPr>
          <w:rFonts w:cs="Calibri"/>
          <w:bCs/>
        </w:rPr>
        <w:tab/>
        <w:t xml:space="preserve">- po zanurzeniu w wodzie:  0 ,5 </w:t>
      </w:r>
      <w:proofErr w:type="spellStart"/>
      <w:r w:rsidRPr="009125E4">
        <w:rPr>
          <w:rFonts w:cs="Calibri"/>
          <w:bCs/>
        </w:rPr>
        <w:t>MPa</w:t>
      </w:r>
      <w:proofErr w:type="spellEnd"/>
    </w:p>
    <w:p w:rsidR="009125E4" w:rsidRPr="009125E4" w:rsidRDefault="009125E4" w:rsidP="009125E4">
      <w:pPr>
        <w:spacing w:after="0"/>
        <w:jc w:val="both"/>
        <w:rPr>
          <w:rFonts w:cs="Calibri"/>
          <w:bCs/>
        </w:rPr>
      </w:pPr>
      <w:r w:rsidRPr="009125E4">
        <w:rPr>
          <w:rFonts w:cs="Calibri"/>
          <w:bCs/>
        </w:rPr>
        <w:t xml:space="preserve">          - po starzeniu termicznym:  0,5 </w:t>
      </w:r>
      <w:proofErr w:type="spellStart"/>
      <w:r w:rsidRPr="009125E4">
        <w:rPr>
          <w:rFonts w:cs="Calibri"/>
          <w:bCs/>
        </w:rPr>
        <w:t>MPa</w:t>
      </w:r>
      <w:proofErr w:type="spellEnd"/>
    </w:p>
    <w:p w:rsidR="009125E4" w:rsidRPr="009125E4" w:rsidRDefault="009125E4" w:rsidP="009125E4">
      <w:pPr>
        <w:spacing w:after="0"/>
        <w:jc w:val="both"/>
        <w:rPr>
          <w:rFonts w:cs="Calibri"/>
          <w:bCs/>
        </w:rPr>
      </w:pPr>
      <w:r w:rsidRPr="009125E4">
        <w:rPr>
          <w:rFonts w:cs="Calibri"/>
          <w:bCs/>
        </w:rPr>
        <w:t xml:space="preserve">          - po cyklach zamrażania i rozmrażania:  0,5 </w:t>
      </w:r>
      <w:proofErr w:type="spellStart"/>
      <w:r w:rsidRPr="009125E4">
        <w:rPr>
          <w:rFonts w:cs="Calibri"/>
          <w:bCs/>
        </w:rPr>
        <w:t>MPa</w:t>
      </w:r>
      <w:proofErr w:type="spellEnd"/>
    </w:p>
    <w:p w:rsidR="009125E4" w:rsidRPr="009125E4" w:rsidRDefault="009125E4" w:rsidP="009125E4">
      <w:pPr>
        <w:spacing w:after="0"/>
        <w:jc w:val="both"/>
        <w:rPr>
          <w:rFonts w:cs="Calibri"/>
          <w:bCs/>
        </w:rPr>
      </w:pPr>
      <w:r w:rsidRPr="009125E4">
        <w:rPr>
          <w:rFonts w:cs="Calibri"/>
          <w:bCs/>
        </w:rPr>
        <w:t>Odporność na temperaturę:</w:t>
      </w:r>
      <w:r w:rsidRPr="009125E4">
        <w:rPr>
          <w:rFonts w:cs="Calibri"/>
          <w:bCs/>
        </w:rPr>
        <w:tab/>
      </w:r>
      <w:r w:rsidRPr="009125E4">
        <w:rPr>
          <w:rFonts w:cs="Calibri"/>
          <w:bCs/>
        </w:rPr>
        <w:tab/>
        <w:t xml:space="preserve"> od </w:t>
      </w:r>
      <w:smartTag w:uri="urn:schemas-microsoft-com:office:smarttags" w:element="metricconverter">
        <w:smartTagPr>
          <w:attr w:name="ProductID" w:val="-30ﾰC"/>
        </w:smartTagPr>
        <w:r w:rsidRPr="009125E4">
          <w:rPr>
            <w:rFonts w:cs="Calibri"/>
            <w:bCs/>
          </w:rPr>
          <w:t>-30°C</w:t>
        </w:r>
      </w:smartTag>
      <w:r w:rsidRPr="009125E4">
        <w:rPr>
          <w:rFonts w:cs="Calibri"/>
          <w:bCs/>
        </w:rPr>
        <w:t xml:space="preserve"> do +</w:t>
      </w:r>
      <w:smartTag w:uri="urn:schemas-microsoft-com:office:smarttags" w:element="metricconverter">
        <w:smartTagPr>
          <w:attr w:name="ProductID" w:val="70ﾰC"/>
        </w:smartTagPr>
        <w:r w:rsidRPr="009125E4">
          <w:rPr>
            <w:rFonts w:cs="Calibri"/>
            <w:bCs/>
          </w:rPr>
          <w:t>70°C</w:t>
        </w:r>
      </w:smartTag>
    </w:p>
    <w:p w:rsidR="00652555" w:rsidRPr="00955831" w:rsidRDefault="00652555" w:rsidP="00955831">
      <w:pPr>
        <w:pStyle w:val="Akapitzlist"/>
        <w:numPr>
          <w:ilvl w:val="1"/>
          <w:numId w:val="18"/>
        </w:numPr>
        <w:spacing w:after="0"/>
        <w:jc w:val="both"/>
        <w:rPr>
          <w:rFonts w:cs="Calibri"/>
          <w:b/>
          <w:bCs/>
        </w:rPr>
      </w:pPr>
      <w:r w:rsidRPr="00955831">
        <w:rPr>
          <w:rFonts w:cs="Calibri"/>
          <w:b/>
          <w:bCs/>
        </w:rPr>
        <w:t>Materiały pomocnicze</w:t>
      </w:r>
    </w:p>
    <w:p w:rsidR="00652555" w:rsidRPr="00652555" w:rsidRDefault="00652555" w:rsidP="00652555">
      <w:pPr>
        <w:spacing w:after="0"/>
        <w:jc w:val="both"/>
        <w:rPr>
          <w:rFonts w:cs="Calibri"/>
          <w:bCs/>
        </w:rPr>
      </w:pPr>
      <w:r w:rsidRPr="00652555">
        <w:rPr>
          <w:rFonts w:cs="Calibri"/>
          <w:bCs/>
        </w:rPr>
        <w:t>Materiały pomocnicze do wykonywania wykładzin i okładzin to:</w:t>
      </w:r>
    </w:p>
    <w:p w:rsidR="00652555" w:rsidRPr="00652555" w:rsidRDefault="00652555" w:rsidP="00652555">
      <w:pPr>
        <w:spacing w:after="0"/>
        <w:jc w:val="both"/>
        <w:rPr>
          <w:rFonts w:cs="Calibri"/>
          <w:bCs/>
        </w:rPr>
      </w:pPr>
      <w:r w:rsidRPr="00652555">
        <w:rPr>
          <w:rFonts w:cs="Calibri"/>
          <w:bCs/>
        </w:rPr>
        <w:t>– listwy dylatacyjne i wykończeniowe,</w:t>
      </w:r>
    </w:p>
    <w:p w:rsidR="00652555" w:rsidRPr="00652555" w:rsidRDefault="00652555" w:rsidP="00652555">
      <w:pPr>
        <w:spacing w:after="0"/>
        <w:jc w:val="both"/>
        <w:rPr>
          <w:rFonts w:cs="Calibri"/>
          <w:bCs/>
        </w:rPr>
      </w:pPr>
      <w:r w:rsidRPr="00652555">
        <w:rPr>
          <w:rFonts w:cs="Calibri"/>
          <w:bCs/>
        </w:rPr>
        <w:t>– środki ochrony płytek i spoin,</w:t>
      </w:r>
    </w:p>
    <w:p w:rsidR="00652555" w:rsidRPr="00652555" w:rsidRDefault="00652555" w:rsidP="00652555">
      <w:pPr>
        <w:spacing w:after="0"/>
        <w:jc w:val="both"/>
        <w:rPr>
          <w:rFonts w:cs="Calibri"/>
          <w:bCs/>
        </w:rPr>
      </w:pPr>
      <w:r w:rsidRPr="00652555">
        <w:rPr>
          <w:rFonts w:cs="Calibri"/>
          <w:bCs/>
        </w:rPr>
        <w:t>– środki do usuwania zanieczyszczeń,</w:t>
      </w:r>
    </w:p>
    <w:p w:rsidR="00652555" w:rsidRPr="00652555" w:rsidRDefault="00652555" w:rsidP="00652555">
      <w:pPr>
        <w:spacing w:after="0"/>
        <w:jc w:val="both"/>
        <w:rPr>
          <w:rFonts w:cs="Calibri"/>
          <w:bCs/>
        </w:rPr>
      </w:pPr>
      <w:r w:rsidRPr="00652555">
        <w:rPr>
          <w:rFonts w:cs="Calibri"/>
          <w:bCs/>
        </w:rPr>
        <w:t>– środki do konserwacji wykładzin i okładzin.</w:t>
      </w:r>
    </w:p>
    <w:p w:rsidR="00652555" w:rsidRPr="00652555" w:rsidRDefault="00652555" w:rsidP="00652555">
      <w:pPr>
        <w:spacing w:after="0"/>
        <w:jc w:val="both"/>
        <w:rPr>
          <w:rFonts w:cs="Calibri"/>
          <w:bCs/>
        </w:rPr>
      </w:pPr>
      <w:r w:rsidRPr="00652555">
        <w:rPr>
          <w:rFonts w:cs="Calibri"/>
          <w:bCs/>
        </w:rPr>
        <w:t xml:space="preserve">Wszystkie ww. materiały muszą mieć własności techniczne określone przez producenta lub </w:t>
      </w:r>
    </w:p>
    <w:p w:rsidR="00652555" w:rsidRPr="00652555" w:rsidRDefault="00652555" w:rsidP="00652555">
      <w:pPr>
        <w:spacing w:after="0"/>
        <w:jc w:val="both"/>
        <w:rPr>
          <w:rFonts w:cs="Calibri"/>
          <w:bCs/>
        </w:rPr>
      </w:pPr>
      <w:r w:rsidRPr="00652555">
        <w:rPr>
          <w:rFonts w:cs="Calibri"/>
          <w:bCs/>
        </w:rPr>
        <w:t>odpowiednie aprobaty techniczne.</w:t>
      </w:r>
    </w:p>
    <w:p w:rsidR="00652555" w:rsidRPr="00955831" w:rsidRDefault="00652555" w:rsidP="00955831">
      <w:pPr>
        <w:pStyle w:val="Akapitzlist"/>
        <w:numPr>
          <w:ilvl w:val="1"/>
          <w:numId w:val="18"/>
        </w:numPr>
        <w:spacing w:after="0"/>
        <w:jc w:val="both"/>
        <w:rPr>
          <w:rFonts w:cs="Calibri"/>
          <w:b/>
          <w:bCs/>
        </w:rPr>
      </w:pPr>
      <w:r w:rsidRPr="00955831">
        <w:rPr>
          <w:rFonts w:cs="Calibri"/>
          <w:b/>
          <w:bCs/>
        </w:rPr>
        <w:t>Woda</w:t>
      </w:r>
    </w:p>
    <w:p w:rsidR="00652555" w:rsidRDefault="00652555" w:rsidP="00652555">
      <w:pPr>
        <w:spacing w:after="0"/>
        <w:jc w:val="both"/>
        <w:rPr>
          <w:rFonts w:cs="Calibri"/>
          <w:bCs/>
        </w:rPr>
      </w:pPr>
      <w:r w:rsidRPr="00652555">
        <w:rPr>
          <w:rFonts w:cs="Calibri"/>
          <w:bCs/>
        </w:rPr>
        <w:t xml:space="preserve">Do przygotowania kompozycji klejących zapraw klejowych i mas do spoinowania stosować </w:t>
      </w:r>
      <w:r w:rsidR="00955831" w:rsidRPr="00652555">
        <w:rPr>
          <w:rFonts w:cs="Calibri"/>
          <w:bCs/>
        </w:rPr>
        <w:t>należy</w:t>
      </w:r>
      <w:r w:rsidRPr="00652555">
        <w:rPr>
          <w:rFonts w:cs="Calibri"/>
          <w:bCs/>
        </w:rPr>
        <w:t xml:space="preserve"> wodę odpowiadającą wymaganiom normy PN-88/B-32250 „Materiały budowlane. Woda do </w:t>
      </w:r>
      <w:r w:rsidR="00955831" w:rsidRPr="00652555">
        <w:rPr>
          <w:rFonts w:cs="Calibri"/>
          <w:bCs/>
        </w:rPr>
        <w:t>betonów</w:t>
      </w:r>
      <w:r w:rsidRPr="00652555">
        <w:rPr>
          <w:rFonts w:cs="Calibri"/>
          <w:bCs/>
        </w:rPr>
        <w:t xml:space="preserve"> i zapraw.” Bez badań laboratoryjnych </w:t>
      </w:r>
      <w:proofErr w:type="spellStart"/>
      <w:r w:rsidRPr="00652555">
        <w:rPr>
          <w:rFonts w:cs="Calibri"/>
          <w:bCs/>
        </w:rPr>
        <w:t>moŜe</w:t>
      </w:r>
      <w:proofErr w:type="spellEnd"/>
      <w:r w:rsidRPr="00652555">
        <w:rPr>
          <w:rFonts w:cs="Calibri"/>
          <w:bCs/>
        </w:rPr>
        <w:t xml:space="preserve"> być stosowana wodociągowa woda pitna.</w:t>
      </w:r>
    </w:p>
    <w:p w:rsidR="00955831" w:rsidRPr="00652555" w:rsidRDefault="00955831" w:rsidP="00652555">
      <w:pPr>
        <w:spacing w:after="0"/>
        <w:jc w:val="both"/>
        <w:rPr>
          <w:rFonts w:cs="Calibri"/>
          <w:bCs/>
        </w:rPr>
      </w:pPr>
    </w:p>
    <w:p w:rsidR="00652555" w:rsidRPr="00955831" w:rsidRDefault="00652555" w:rsidP="00955831">
      <w:pPr>
        <w:pStyle w:val="Akapitzlist"/>
        <w:numPr>
          <w:ilvl w:val="0"/>
          <w:numId w:val="18"/>
        </w:numPr>
        <w:spacing w:after="0"/>
        <w:jc w:val="both"/>
        <w:rPr>
          <w:rFonts w:cs="Calibri"/>
          <w:b/>
          <w:bCs/>
        </w:rPr>
      </w:pPr>
      <w:r w:rsidRPr="00955831">
        <w:rPr>
          <w:rFonts w:cs="Calibri"/>
          <w:b/>
          <w:bCs/>
        </w:rPr>
        <w:t>SPRZĘT I NARZĘDZIA</w:t>
      </w:r>
    </w:p>
    <w:p w:rsidR="00652555" w:rsidRPr="00955831" w:rsidRDefault="00652555" w:rsidP="00955831">
      <w:pPr>
        <w:pStyle w:val="Akapitzlist"/>
        <w:numPr>
          <w:ilvl w:val="1"/>
          <w:numId w:val="18"/>
        </w:numPr>
        <w:spacing w:after="0"/>
        <w:jc w:val="both"/>
        <w:rPr>
          <w:rFonts w:cs="Calibri"/>
          <w:b/>
          <w:bCs/>
        </w:rPr>
      </w:pPr>
      <w:r w:rsidRPr="00955831">
        <w:rPr>
          <w:rFonts w:cs="Calibri"/>
          <w:b/>
          <w:bCs/>
        </w:rPr>
        <w:t>Sprzęt i narzędzia do wykonywania wykładzin i okładzin</w:t>
      </w:r>
    </w:p>
    <w:p w:rsidR="00652555" w:rsidRPr="00652555" w:rsidRDefault="00652555" w:rsidP="00652555">
      <w:pPr>
        <w:spacing w:after="0"/>
        <w:jc w:val="both"/>
        <w:rPr>
          <w:rFonts w:cs="Calibri"/>
          <w:bCs/>
        </w:rPr>
      </w:pPr>
      <w:r w:rsidRPr="00652555">
        <w:rPr>
          <w:rFonts w:cs="Calibri"/>
          <w:bCs/>
        </w:rPr>
        <w:t xml:space="preserve">Do wykonywania robot wykładzinowych i okładzinowych </w:t>
      </w:r>
      <w:r w:rsidR="00955831" w:rsidRPr="00652555">
        <w:rPr>
          <w:rFonts w:cs="Calibri"/>
          <w:bCs/>
        </w:rPr>
        <w:t>należy</w:t>
      </w:r>
      <w:r w:rsidRPr="00652555">
        <w:rPr>
          <w:rFonts w:cs="Calibri"/>
          <w:bCs/>
        </w:rPr>
        <w:t xml:space="preserve"> stosować:</w:t>
      </w:r>
    </w:p>
    <w:p w:rsidR="00652555" w:rsidRPr="00652555" w:rsidRDefault="00652555" w:rsidP="00652555">
      <w:pPr>
        <w:spacing w:after="0"/>
        <w:jc w:val="both"/>
        <w:rPr>
          <w:rFonts w:cs="Calibri"/>
          <w:bCs/>
        </w:rPr>
      </w:pPr>
      <w:r w:rsidRPr="00652555">
        <w:rPr>
          <w:rFonts w:cs="Calibri"/>
          <w:bCs/>
        </w:rPr>
        <w:t xml:space="preserve">– szczotki włosiane lub druciane do czyszczenia </w:t>
      </w:r>
      <w:r w:rsidR="00955831" w:rsidRPr="00652555">
        <w:rPr>
          <w:rFonts w:cs="Calibri"/>
          <w:bCs/>
        </w:rPr>
        <w:t>podłoża</w:t>
      </w:r>
      <w:r w:rsidRPr="00652555">
        <w:rPr>
          <w:rFonts w:cs="Calibri"/>
          <w:bCs/>
        </w:rPr>
        <w:t>,</w:t>
      </w:r>
    </w:p>
    <w:p w:rsidR="00652555" w:rsidRPr="00652555" w:rsidRDefault="00652555" w:rsidP="00652555">
      <w:pPr>
        <w:spacing w:after="0"/>
        <w:jc w:val="both"/>
        <w:rPr>
          <w:rFonts w:cs="Calibri"/>
          <w:bCs/>
        </w:rPr>
      </w:pPr>
      <w:r w:rsidRPr="00652555">
        <w:rPr>
          <w:rFonts w:cs="Calibri"/>
          <w:bCs/>
        </w:rPr>
        <w:t>– szpachle i pace metalowe lub z tworzyw sztucznych,</w:t>
      </w:r>
    </w:p>
    <w:p w:rsidR="00652555" w:rsidRPr="00652555" w:rsidRDefault="00652555" w:rsidP="00652555">
      <w:pPr>
        <w:spacing w:after="0"/>
        <w:jc w:val="both"/>
        <w:rPr>
          <w:rFonts w:cs="Calibri"/>
          <w:bCs/>
        </w:rPr>
      </w:pPr>
      <w:r w:rsidRPr="00652555">
        <w:rPr>
          <w:rFonts w:cs="Calibri"/>
          <w:bCs/>
        </w:rPr>
        <w:t>– narzędzia lub urządzenia mechaniczne do cięcia płytek,</w:t>
      </w:r>
    </w:p>
    <w:p w:rsidR="00955831" w:rsidRPr="00955831" w:rsidRDefault="00620299" w:rsidP="00955831">
      <w:pPr>
        <w:spacing w:after="0"/>
        <w:jc w:val="both"/>
        <w:rPr>
          <w:rFonts w:cs="Calibri"/>
          <w:bCs/>
        </w:rPr>
      </w:pPr>
      <w:r>
        <w:rPr>
          <w:rFonts w:cs="Calibri"/>
          <w:bCs/>
        </w:rPr>
        <w:t>–</w:t>
      </w:r>
      <w:r w:rsidR="00652555" w:rsidRPr="00652555">
        <w:rPr>
          <w:rFonts w:cs="Calibri"/>
          <w:bCs/>
        </w:rPr>
        <w:t xml:space="preserve">pace ząbkowane stalowe lub z tworzyw sztucznych o wysokości </w:t>
      </w:r>
      <w:r w:rsidR="00955831" w:rsidRPr="00652555">
        <w:rPr>
          <w:rFonts w:cs="Calibri"/>
          <w:bCs/>
        </w:rPr>
        <w:t>ząbków</w:t>
      </w:r>
      <w:r w:rsidR="00652555" w:rsidRPr="00652555">
        <w:rPr>
          <w:rFonts w:cs="Calibri"/>
          <w:bCs/>
        </w:rPr>
        <w:t xml:space="preserve"> 6-12 mmm do rozprowadzania</w:t>
      </w:r>
      <w:r w:rsidR="00955831">
        <w:rPr>
          <w:rFonts w:cs="Calibri"/>
          <w:bCs/>
        </w:rPr>
        <w:t xml:space="preserve"> </w:t>
      </w:r>
      <w:r w:rsidR="00652555" w:rsidRPr="00652555">
        <w:rPr>
          <w:rFonts w:cs="Calibri"/>
          <w:bCs/>
        </w:rPr>
        <w:t>kompozycji klejących,</w:t>
      </w:r>
      <w:r w:rsidR="00955831">
        <w:rPr>
          <w:rFonts w:cs="Calibri"/>
          <w:bCs/>
        </w:rPr>
        <w:t xml:space="preserve"> </w:t>
      </w:r>
      <w:r w:rsidR="00955831" w:rsidRPr="00955831">
        <w:rPr>
          <w:rFonts w:cs="Calibri"/>
          <w:bCs/>
        </w:rPr>
        <w:t>– łaty do sprawdzania równości powierzchni,</w:t>
      </w:r>
    </w:p>
    <w:p w:rsidR="00955831" w:rsidRPr="00955831" w:rsidRDefault="00955831" w:rsidP="00955831">
      <w:pPr>
        <w:spacing w:after="0"/>
        <w:jc w:val="both"/>
        <w:rPr>
          <w:rFonts w:cs="Calibri"/>
          <w:bCs/>
        </w:rPr>
      </w:pPr>
      <w:r w:rsidRPr="00955831">
        <w:rPr>
          <w:rFonts w:cs="Calibri"/>
          <w:bCs/>
        </w:rPr>
        <w:t>– poziomnice,</w:t>
      </w:r>
    </w:p>
    <w:p w:rsidR="00955831" w:rsidRPr="00955831" w:rsidRDefault="00620299" w:rsidP="00955831">
      <w:pPr>
        <w:spacing w:after="0"/>
        <w:jc w:val="both"/>
        <w:rPr>
          <w:rFonts w:cs="Calibri"/>
          <w:bCs/>
        </w:rPr>
      </w:pPr>
      <w:r>
        <w:rPr>
          <w:rFonts w:cs="Calibri"/>
          <w:bCs/>
        </w:rPr>
        <w:t>–</w:t>
      </w:r>
      <w:r w:rsidR="00955831" w:rsidRPr="00955831">
        <w:rPr>
          <w:rFonts w:cs="Calibri"/>
          <w:bCs/>
        </w:rPr>
        <w:t>mieszadła koszyczkowe napędzane wiertarką elektryczną oraz pojemniki do przygotowania kompozycji klejących,</w:t>
      </w:r>
    </w:p>
    <w:p w:rsidR="00955831" w:rsidRPr="00955831" w:rsidRDefault="00955831" w:rsidP="00955831">
      <w:pPr>
        <w:spacing w:after="0"/>
        <w:jc w:val="both"/>
        <w:rPr>
          <w:rFonts w:cs="Calibri"/>
          <w:bCs/>
        </w:rPr>
      </w:pPr>
      <w:r w:rsidRPr="00955831">
        <w:rPr>
          <w:rFonts w:cs="Calibri"/>
          <w:bCs/>
        </w:rPr>
        <w:t>– pace gumowe lub z tworzyw sztucznych do spoinowania,</w:t>
      </w:r>
    </w:p>
    <w:p w:rsidR="00955831" w:rsidRPr="00955831" w:rsidRDefault="00955831" w:rsidP="00955831">
      <w:pPr>
        <w:spacing w:after="0"/>
        <w:jc w:val="both"/>
        <w:rPr>
          <w:rFonts w:cs="Calibri"/>
          <w:bCs/>
        </w:rPr>
      </w:pPr>
      <w:r w:rsidRPr="00955831">
        <w:rPr>
          <w:rFonts w:cs="Calibri"/>
          <w:bCs/>
        </w:rPr>
        <w:t>– gąbki do mycia i czyszczenia,</w:t>
      </w:r>
    </w:p>
    <w:p w:rsidR="00955831" w:rsidRDefault="00955831" w:rsidP="00955831">
      <w:pPr>
        <w:spacing w:after="0"/>
        <w:jc w:val="both"/>
        <w:rPr>
          <w:rFonts w:cs="Calibri"/>
          <w:bCs/>
        </w:rPr>
      </w:pPr>
      <w:r w:rsidRPr="00955831">
        <w:rPr>
          <w:rFonts w:cs="Calibri"/>
          <w:bCs/>
        </w:rPr>
        <w:t>– wkładki (krzyżyki) dystansowe.</w:t>
      </w:r>
    </w:p>
    <w:p w:rsidR="00955831" w:rsidRPr="00955831" w:rsidRDefault="00955831" w:rsidP="00955831">
      <w:pPr>
        <w:spacing w:after="0"/>
        <w:jc w:val="both"/>
        <w:rPr>
          <w:rFonts w:cs="Calibri"/>
          <w:bCs/>
        </w:rPr>
      </w:pPr>
    </w:p>
    <w:p w:rsidR="00955831" w:rsidRPr="002D2DF9" w:rsidRDefault="00955831" w:rsidP="002D2DF9">
      <w:pPr>
        <w:pStyle w:val="Akapitzlist"/>
        <w:numPr>
          <w:ilvl w:val="0"/>
          <w:numId w:val="18"/>
        </w:numPr>
        <w:spacing w:after="0"/>
        <w:jc w:val="both"/>
        <w:rPr>
          <w:rFonts w:cs="Calibri"/>
          <w:b/>
          <w:bCs/>
        </w:rPr>
      </w:pPr>
      <w:r w:rsidRPr="002D2DF9">
        <w:rPr>
          <w:rFonts w:cs="Calibri"/>
          <w:b/>
          <w:bCs/>
        </w:rPr>
        <w:lastRenderedPageBreak/>
        <w:t>TRANSPORT</w:t>
      </w:r>
    </w:p>
    <w:p w:rsidR="00955831" w:rsidRPr="002D2DF9" w:rsidRDefault="00955831" w:rsidP="002D2DF9">
      <w:pPr>
        <w:pStyle w:val="Akapitzlist"/>
        <w:numPr>
          <w:ilvl w:val="1"/>
          <w:numId w:val="18"/>
        </w:numPr>
        <w:spacing w:after="0"/>
        <w:jc w:val="both"/>
        <w:rPr>
          <w:rFonts w:cs="Calibri"/>
          <w:b/>
          <w:bCs/>
        </w:rPr>
      </w:pPr>
      <w:r w:rsidRPr="002D2DF9">
        <w:rPr>
          <w:rFonts w:cs="Calibri"/>
          <w:b/>
          <w:bCs/>
        </w:rPr>
        <w:t xml:space="preserve">Transport i składowanie </w:t>
      </w:r>
      <w:r w:rsidR="002D2DF9" w:rsidRPr="002D2DF9">
        <w:rPr>
          <w:rFonts w:cs="Calibri"/>
          <w:b/>
          <w:bCs/>
        </w:rPr>
        <w:t>materiałów</w:t>
      </w:r>
    </w:p>
    <w:p w:rsidR="002D2DF9" w:rsidRDefault="00955831" w:rsidP="00955831">
      <w:pPr>
        <w:spacing w:after="0"/>
        <w:jc w:val="both"/>
        <w:rPr>
          <w:rFonts w:cs="Calibri"/>
          <w:bCs/>
        </w:rPr>
      </w:pPr>
      <w:r w:rsidRPr="00955831">
        <w:rPr>
          <w:rFonts w:cs="Calibri"/>
          <w:bCs/>
        </w:rPr>
        <w:t xml:space="preserve">Transport </w:t>
      </w:r>
      <w:r w:rsidR="002D2DF9" w:rsidRPr="00955831">
        <w:rPr>
          <w:rFonts w:cs="Calibri"/>
          <w:bCs/>
        </w:rPr>
        <w:t>materiałów</w:t>
      </w:r>
      <w:r w:rsidRPr="00955831">
        <w:rPr>
          <w:rFonts w:cs="Calibri"/>
          <w:bCs/>
        </w:rPr>
        <w:t xml:space="preserve"> do wykonania wykładzin i okładzin nie wymaga specjalnych </w:t>
      </w:r>
      <w:r w:rsidR="002D2DF9" w:rsidRPr="00955831">
        <w:rPr>
          <w:rFonts w:cs="Calibri"/>
          <w:bCs/>
        </w:rPr>
        <w:t>Śródków</w:t>
      </w:r>
      <w:r w:rsidRPr="00955831">
        <w:rPr>
          <w:rFonts w:cs="Calibri"/>
          <w:bCs/>
        </w:rPr>
        <w:t xml:space="preserve"> i urządzeń. </w:t>
      </w:r>
    </w:p>
    <w:p w:rsidR="00955831" w:rsidRPr="00955831" w:rsidRDefault="00955831" w:rsidP="00955831">
      <w:pPr>
        <w:spacing w:after="0"/>
        <w:jc w:val="both"/>
        <w:rPr>
          <w:rFonts w:cs="Calibri"/>
          <w:bCs/>
        </w:rPr>
      </w:pPr>
      <w:r w:rsidRPr="00955831">
        <w:rPr>
          <w:rFonts w:cs="Calibri"/>
          <w:bCs/>
        </w:rPr>
        <w:t>Zaleca się</w:t>
      </w:r>
      <w:r w:rsidR="002D2DF9">
        <w:rPr>
          <w:rFonts w:cs="Calibri"/>
          <w:bCs/>
        </w:rPr>
        <w:t xml:space="preserve"> uż</w:t>
      </w:r>
      <w:r w:rsidRPr="00955831">
        <w:rPr>
          <w:rFonts w:cs="Calibri"/>
          <w:bCs/>
        </w:rPr>
        <w:t xml:space="preserve">ywać do transportu </w:t>
      </w:r>
      <w:r w:rsidR="002D2DF9" w:rsidRPr="00955831">
        <w:rPr>
          <w:rFonts w:cs="Calibri"/>
          <w:bCs/>
        </w:rPr>
        <w:t>samochodów</w:t>
      </w:r>
      <w:r w:rsidRPr="00955831">
        <w:rPr>
          <w:rFonts w:cs="Calibri"/>
          <w:bCs/>
        </w:rPr>
        <w:t xml:space="preserve"> pokrytych plandekami lub zamkniętych. W czasie transportu </w:t>
      </w:r>
      <w:r w:rsidR="00A658E2" w:rsidRPr="00955831">
        <w:rPr>
          <w:rFonts w:cs="Calibri"/>
          <w:bCs/>
        </w:rPr>
        <w:t>należy</w:t>
      </w:r>
      <w:r w:rsidRPr="00955831">
        <w:rPr>
          <w:rFonts w:cs="Calibri"/>
          <w:bCs/>
        </w:rPr>
        <w:t xml:space="preserve"> zabezpieczyć </w:t>
      </w:r>
      <w:r w:rsidR="00A658E2" w:rsidRPr="00955831">
        <w:rPr>
          <w:rFonts w:cs="Calibri"/>
          <w:bCs/>
        </w:rPr>
        <w:t>przewożone</w:t>
      </w:r>
      <w:r w:rsidRPr="00955831">
        <w:rPr>
          <w:rFonts w:cs="Calibri"/>
          <w:bCs/>
        </w:rPr>
        <w:t xml:space="preserve"> materiały w </w:t>
      </w:r>
      <w:r w:rsidR="00A658E2" w:rsidRPr="00955831">
        <w:rPr>
          <w:rFonts w:cs="Calibri"/>
          <w:bCs/>
        </w:rPr>
        <w:t>sposób</w:t>
      </w:r>
      <w:r w:rsidRPr="00955831">
        <w:rPr>
          <w:rFonts w:cs="Calibri"/>
          <w:bCs/>
        </w:rPr>
        <w:t xml:space="preserve"> wykluczający ich uszkodzenie. W przypadku </w:t>
      </w:r>
      <w:r w:rsidR="00A658E2" w:rsidRPr="00955831">
        <w:rPr>
          <w:rFonts w:cs="Calibri"/>
          <w:bCs/>
        </w:rPr>
        <w:t>dużych</w:t>
      </w:r>
      <w:r w:rsidRPr="00955831">
        <w:rPr>
          <w:rFonts w:cs="Calibri"/>
          <w:bCs/>
        </w:rPr>
        <w:t xml:space="preserve"> ilości </w:t>
      </w:r>
      <w:r w:rsidR="00A658E2" w:rsidRPr="00955831">
        <w:rPr>
          <w:rFonts w:cs="Calibri"/>
          <w:bCs/>
        </w:rPr>
        <w:t>materiałów</w:t>
      </w:r>
      <w:r w:rsidRPr="00955831">
        <w:rPr>
          <w:rFonts w:cs="Calibri"/>
          <w:bCs/>
        </w:rPr>
        <w:t xml:space="preserve"> zalecane jest </w:t>
      </w:r>
      <w:r w:rsidR="00A658E2" w:rsidRPr="00955831">
        <w:rPr>
          <w:rFonts w:cs="Calibri"/>
          <w:bCs/>
        </w:rPr>
        <w:t>przewożenie</w:t>
      </w:r>
      <w:r w:rsidR="00A658E2">
        <w:rPr>
          <w:rFonts w:cs="Calibri"/>
          <w:bCs/>
        </w:rPr>
        <w:t xml:space="preserve"> ich na paletach i uż</w:t>
      </w:r>
      <w:r w:rsidRPr="00955831">
        <w:rPr>
          <w:rFonts w:cs="Calibri"/>
          <w:bCs/>
        </w:rPr>
        <w:t>ycie do załadunku i rozładunku ładunku urządzeń mechanicznych.</w:t>
      </w:r>
    </w:p>
    <w:p w:rsidR="00955831" w:rsidRDefault="00955831" w:rsidP="00955831">
      <w:pPr>
        <w:spacing w:after="0"/>
        <w:jc w:val="both"/>
        <w:rPr>
          <w:rFonts w:cs="Calibri"/>
          <w:bCs/>
        </w:rPr>
      </w:pPr>
      <w:r w:rsidRPr="00955831">
        <w:rPr>
          <w:rFonts w:cs="Calibri"/>
          <w:bCs/>
        </w:rPr>
        <w:t xml:space="preserve">Składowanie </w:t>
      </w:r>
      <w:r w:rsidR="00A658E2" w:rsidRPr="00955831">
        <w:rPr>
          <w:rFonts w:cs="Calibri"/>
          <w:bCs/>
        </w:rPr>
        <w:t>materiałów</w:t>
      </w:r>
      <w:r w:rsidRPr="00955831">
        <w:rPr>
          <w:rFonts w:cs="Calibri"/>
          <w:bCs/>
        </w:rPr>
        <w:t xml:space="preserve"> podłogowych na budowie musi być w pomieszczeniach zamkniętych, zabezpieczonych przed opadami i minusowymi temperaturami.</w:t>
      </w:r>
    </w:p>
    <w:p w:rsidR="00DA7928" w:rsidRPr="00DA7928" w:rsidRDefault="00DA7928" w:rsidP="00DA7928">
      <w:pPr>
        <w:spacing w:after="0"/>
        <w:jc w:val="both"/>
        <w:rPr>
          <w:rFonts w:cs="Calibri"/>
          <w:b/>
          <w:bCs/>
        </w:rPr>
      </w:pPr>
      <w:r w:rsidRPr="00DA7928">
        <w:rPr>
          <w:rFonts w:cs="Calibri"/>
          <w:b/>
          <w:bCs/>
        </w:rPr>
        <w:t>Transport zapraw</w:t>
      </w:r>
    </w:p>
    <w:p w:rsidR="00DA7928" w:rsidRPr="00DA7928" w:rsidRDefault="00DA7928" w:rsidP="00DA7928">
      <w:pPr>
        <w:spacing w:after="0"/>
        <w:jc w:val="both"/>
        <w:rPr>
          <w:rFonts w:cs="Calibri"/>
          <w:bCs/>
        </w:rPr>
      </w:pPr>
      <w:r w:rsidRPr="00DA7928">
        <w:rPr>
          <w:rFonts w:cs="Calibri"/>
          <w:bCs/>
        </w:rPr>
        <w:t>Zaprawę należy przewozić i przechowywać w szczelnie zamkniętych workach, w suchych warunkach (najlepiej na paletach). Chronić przed wilgocią.</w:t>
      </w:r>
    </w:p>
    <w:p w:rsidR="00DA7928" w:rsidRPr="00DA7928" w:rsidRDefault="00DA7928" w:rsidP="00DA7928">
      <w:pPr>
        <w:spacing w:after="0"/>
        <w:jc w:val="both"/>
        <w:rPr>
          <w:rFonts w:cs="Calibri"/>
          <w:bCs/>
        </w:rPr>
      </w:pPr>
      <w:r w:rsidRPr="00DA7928">
        <w:rPr>
          <w:rFonts w:cs="Calibri"/>
          <w:bCs/>
        </w:rPr>
        <w:t>Przewóz zapraw winien odbywać się dostosowanymi do tego celu środkami transportu, gwarantującymi ochronę przed opadami atmosferycznymi, zawilgoceniem, uszkodzeniem opakowania, zanieczyszczeniem. Zaprawy workowane winny być pakowany w worki papierowe WK co najmniej trzywarstwowe wg PN -P-79005. Należy ściśle przestrzegać dopuszczalnych terminów przechowywania zapraw.</w:t>
      </w:r>
    </w:p>
    <w:p w:rsidR="00DA7928" w:rsidRPr="00DA7928" w:rsidRDefault="00DA7928" w:rsidP="00DA7928">
      <w:pPr>
        <w:spacing w:after="0"/>
        <w:jc w:val="both"/>
        <w:rPr>
          <w:rFonts w:cs="Calibri"/>
          <w:b/>
          <w:bCs/>
        </w:rPr>
      </w:pPr>
      <w:r w:rsidRPr="00DA7928">
        <w:rPr>
          <w:rFonts w:cs="Calibri"/>
          <w:b/>
          <w:bCs/>
        </w:rPr>
        <w:t xml:space="preserve">Transport płytek </w:t>
      </w:r>
    </w:p>
    <w:p w:rsidR="00DA7928" w:rsidRPr="00DA7928" w:rsidRDefault="00DA7928" w:rsidP="00DA7928">
      <w:pPr>
        <w:spacing w:after="0"/>
        <w:jc w:val="both"/>
        <w:rPr>
          <w:rFonts w:cs="Calibri"/>
          <w:bCs/>
        </w:rPr>
      </w:pPr>
      <w:r w:rsidRPr="00DA7928">
        <w:rPr>
          <w:rFonts w:cs="Calibri"/>
          <w:bCs/>
        </w:rPr>
        <w:t xml:space="preserve">Płytki ceramiczne powinny być transportowane i składowane w sposób zabezpieczający przed uszkodzeniami lub pogorszeniem parametrów technicznych. Materiał winien być składowany wielowarstwowo w stosach, na paletach. Płytki ceramiczne należy składować w opakowaniach producenta zgodnie z wymaganiami norm i warunkami gwarancji jakości, </w:t>
      </w:r>
      <w:r w:rsidRPr="00DA7928">
        <w:rPr>
          <w:rFonts w:cs="Calibri"/>
          <w:bCs/>
        </w:rPr>
        <w:br/>
        <w:t>w sposób umożliwiający łatwą i jednoznaczną identyfikację każdej dostawy.</w:t>
      </w:r>
    </w:p>
    <w:p w:rsidR="00A658E2" w:rsidRPr="00955831" w:rsidRDefault="00DA7928" w:rsidP="00DA7928">
      <w:pPr>
        <w:spacing w:after="0"/>
        <w:jc w:val="both"/>
        <w:rPr>
          <w:rFonts w:cs="Calibri"/>
          <w:bCs/>
        </w:rPr>
      </w:pPr>
      <w:r w:rsidRPr="00DA7928">
        <w:rPr>
          <w:rFonts w:cs="Calibri"/>
          <w:bCs/>
        </w:rPr>
        <w:t xml:space="preserve">Wyroby powinny być transportowane i przechowywane zgodnie z zaleceniami producenta </w:t>
      </w:r>
      <w:r w:rsidRPr="00DA7928">
        <w:rPr>
          <w:rFonts w:cs="Calibri"/>
          <w:bCs/>
        </w:rPr>
        <w:br/>
        <w:t>z zachowaniem powyższych wymagań.</w:t>
      </w:r>
    </w:p>
    <w:p w:rsidR="00955831" w:rsidRPr="00A658E2" w:rsidRDefault="00955831" w:rsidP="00A658E2">
      <w:pPr>
        <w:pStyle w:val="Akapitzlist"/>
        <w:numPr>
          <w:ilvl w:val="0"/>
          <w:numId w:val="18"/>
        </w:numPr>
        <w:spacing w:after="0"/>
        <w:jc w:val="both"/>
        <w:rPr>
          <w:rFonts w:cs="Calibri"/>
          <w:b/>
          <w:bCs/>
        </w:rPr>
      </w:pPr>
      <w:r w:rsidRPr="00A658E2">
        <w:rPr>
          <w:rFonts w:cs="Calibri"/>
          <w:b/>
          <w:bCs/>
        </w:rPr>
        <w:t>WYKONANIE ROBOT</w:t>
      </w:r>
    </w:p>
    <w:p w:rsidR="00DA7928" w:rsidRPr="00DA7928" w:rsidRDefault="00DA7928" w:rsidP="00DA7928">
      <w:pPr>
        <w:pStyle w:val="Akapitzlist"/>
        <w:numPr>
          <w:ilvl w:val="1"/>
          <w:numId w:val="18"/>
        </w:numPr>
        <w:spacing w:after="0"/>
        <w:jc w:val="both"/>
        <w:rPr>
          <w:rFonts w:cs="Calibri"/>
          <w:b/>
          <w:bCs/>
        </w:rPr>
      </w:pPr>
      <w:r w:rsidRPr="00DA7928">
        <w:rPr>
          <w:rFonts w:cs="Calibri"/>
          <w:b/>
          <w:bCs/>
        </w:rPr>
        <w:t>Ogólne warunki wykonywania robót</w:t>
      </w:r>
    </w:p>
    <w:p w:rsidR="00DA7928" w:rsidRPr="00DA7928" w:rsidRDefault="00DA7928" w:rsidP="00DA7928">
      <w:pPr>
        <w:spacing w:after="0"/>
        <w:jc w:val="both"/>
        <w:rPr>
          <w:rFonts w:cs="Calibri"/>
          <w:bCs/>
        </w:rPr>
      </w:pPr>
      <w:r w:rsidRPr="00DA7928">
        <w:rPr>
          <w:rFonts w:cs="Calibri"/>
          <w:bCs/>
        </w:rPr>
        <w:t>Ogólne warunki wykonywania robót podano w „Wymaganiach ogólnych”.</w:t>
      </w:r>
    </w:p>
    <w:p w:rsidR="00DA7928" w:rsidRPr="00DA7928" w:rsidRDefault="00DA7928" w:rsidP="00DA7928">
      <w:pPr>
        <w:pStyle w:val="Akapitzlist"/>
        <w:numPr>
          <w:ilvl w:val="1"/>
          <w:numId w:val="18"/>
        </w:numPr>
        <w:spacing w:after="0"/>
        <w:jc w:val="both"/>
        <w:rPr>
          <w:rFonts w:cs="Calibri"/>
          <w:b/>
          <w:bCs/>
        </w:rPr>
      </w:pPr>
      <w:r w:rsidRPr="00DA7928">
        <w:rPr>
          <w:rFonts w:cs="Calibri"/>
          <w:b/>
          <w:bCs/>
        </w:rPr>
        <w:t>Warunki przystąpienia do robót</w:t>
      </w:r>
    </w:p>
    <w:p w:rsidR="00DA7928" w:rsidRPr="00DA7928" w:rsidRDefault="00DA7928" w:rsidP="00DA7928">
      <w:pPr>
        <w:spacing w:after="0"/>
        <w:jc w:val="both"/>
        <w:rPr>
          <w:rFonts w:cs="Calibri"/>
          <w:bCs/>
        </w:rPr>
      </w:pPr>
      <w:r w:rsidRPr="00DA7928">
        <w:rPr>
          <w:rFonts w:cs="Calibri"/>
          <w:bCs/>
        </w:rPr>
        <w:t>Do robót związanych z wykonaniem okładzin ściennych i posadzek ceramicznych można przystąpić po zakończeniu robót ogólnobudowlanych i po zakończeniu procesu osiadania ścian budynku, szczególne murowanych (min 4 miesiące po zakończeniu budowy w stanie surowym).</w:t>
      </w:r>
    </w:p>
    <w:p w:rsidR="00DA7928" w:rsidRPr="00DA7928" w:rsidRDefault="00DA7928" w:rsidP="00DA7928">
      <w:pPr>
        <w:spacing w:after="0"/>
        <w:jc w:val="both"/>
        <w:rPr>
          <w:rFonts w:cs="Calibri"/>
          <w:bCs/>
        </w:rPr>
      </w:pPr>
      <w:r w:rsidRPr="00DA7928">
        <w:rPr>
          <w:rFonts w:cs="Calibri"/>
          <w:bCs/>
        </w:rPr>
        <w:t>Roboty należy wykonywać po:</w:t>
      </w:r>
    </w:p>
    <w:p w:rsidR="00DA7928" w:rsidRPr="00DA7928" w:rsidRDefault="00DA7928" w:rsidP="00DA7928">
      <w:pPr>
        <w:spacing w:after="0"/>
        <w:jc w:val="both"/>
        <w:rPr>
          <w:rFonts w:cs="Calibri"/>
          <w:bCs/>
        </w:rPr>
      </w:pPr>
      <w:r w:rsidRPr="00DA7928">
        <w:rPr>
          <w:rFonts w:cs="Calibri"/>
          <w:bCs/>
        </w:rPr>
        <w:t>•  Zakończeniu robót tynkarskich,</w:t>
      </w:r>
    </w:p>
    <w:p w:rsidR="00DA7928" w:rsidRPr="00DA7928" w:rsidRDefault="00DA7928" w:rsidP="00DA7928">
      <w:pPr>
        <w:spacing w:after="0"/>
        <w:jc w:val="both"/>
        <w:rPr>
          <w:rFonts w:cs="Calibri"/>
          <w:bCs/>
        </w:rPr>
      </w:pPr>
      <w:r w:rsidRPr="00DA7928">
        <w:rPr>
          <w:rFonts w:cs="Calibri"/>
          <w:bCs/>
        </w:rPr>
        <w:t>•  Osadzeniu ościeżnic drzwiowych i okiennych, dopasowaniu ślusarki i stolarki, ale przed</w:t>
      </w:r>
    </w:p>
    <w:p w:rsidR="00DA7928" w:rsidRPr="00DA7928" w:rsidRDefault="00DA7928" w:rsidP="00DA7928">
      <w:pPr>
        <w:spacing w:after="0"/>
        <w:jc w:val="both"/>
        <w:rPr>
          <w:rFonts w:cs="Calibri"/>
          <w:bCs/>
        </w:rPr>
      </w:pPr>
      <w:r w:rsidRPr="00DA7928">
        <w:rPr>
          <w:rFonts w:cs="Calibri"/>
          <w:bCs/>
        </w:rPr>
        <w:t>założeniem opasek</w:t>
      </w:r>
    </w:p>
    <w:p w:rsidR="00DA7928" w:rsidRPr="00DA7928" w:rsidRDefault="00DA7928" w:rsidP="00DA7928">
      <w:pPr>
        <w:spacing w:after="0"/>
        <w:jc w:val="both"/>
        <w:rPr>
          <w:rFonts w:cs="Calibri"/>
          <w:bCs/>
        </w:rPr>
      </w:pPr>
      <w:r w:rsidRPr="00DA7928">
        <w:rPr>
          <w:rFonts w:cs="Calibri"/>
          <w:bCs/>
        </w:rPr>
        <w:t>•  Zakończeniu robót instalacyjnych (wodociągowe, kanalizacyjne, co. elektryczne, wentylacji</w:t>
      </w:r>
    </w:p>
    <w:p w:rsidR="00DA7928" w:rsidRPr="00DA7928" w:rsidRDefault="00DA7928" w:rsidP="00DA7928">
      <w:pPr>
        <w:spacing w:after="0"/>
        <w:jc w:val="both"/>
        <w:rPr>
          <w:rFonts w:cs="Calibri"/>
          <w:bCs/>
        </w:rPr>
      </w:pPr>
      <w:r w:rsidRPr="00DA7928">
        <w:rPr>
          <w:rFonts w:cs="Calibri"/>
          <w:bCs/>
        </w:rPr>
        <w:t>i klimatyzacji, okablowania strukturalnego itp.) wraz ze sprawdzeniem instalacji</w:t>
      </w:r>
    </w:p>
    <w:p w:rsidR="00DA7928" w:rsidRPr="00DA7928" w:rsidRDefault="00DA7928" w:rsidP="00DA7928">
      <w:pPr>
        <w:spacing w:after="0"/>
        <w:jc w:val="both"/>
        <w:rPr>
          <w:rFonts w:cs="Calibri"/>
          <w:bCs/>
        </w:rPr>
      </w:pPr>
      <w:r w:rsidRPr="00DA7928">
        <w:rPr>
          <w:rFonts w:cs="Calibri"/>
          <w:bCs/>
        </w:rPr>
        <w:t>Roboty można prowadzić w temperaturze nie niższej niż +</w:t>
      </w:r>
      <w:smartTag w:uri="urn:schemas-microsoft-com:office:smarttags" w:element="metricconverter">
        <w:smartTagPr>
          <w:attr w:name="ProductID" w:val="5ﾰC"/>
        </w:smartTagPr>
        <w:r w:rsidRPr="00DA7928">
          <w:rPr>
            <w:rFonts w:cs="Calibri"/>
            <w:bCs/>
          </w:rPr>
          <w:t>5°C</w:t>
        </w:r>
      </w:smartTag>
      <w:r w:rsidRPr="00DA7928">
        <w:rPr>
          <w:rFonts w:cs="Calibri"/>
          <w:bCs/>
        </w:rPr>
        <w:t>. Temperatura ta powinna być utrzymywana przez co najmniej 5 dni po wykonaniu okładziny.</w:t>
      </w:r>
    </w:p>
    <w:p w:rsidR="00DA7928" w:rsidRPr="00DA7928" w:rsidRDefault="00DA7928" w:rsidP="00DA7928">
      <w:pPr>
        <w:pStyle w:val="Akapitzlist"/>
        <w:numPr>
          <w:ilvl w:val="1"/>
          <w:numId w:val="18"/>
        </w:numPr>
        <w:spacing w:after="0"/>
        <w:jc w:val="both"/>
        <w:rPr>
          <w:rFonts w:cs="Calibri"/>
          <w:b/>
          <w:bCs/>
        </w:rPr>
      </w:pPr>
      <w:r w:rsidRPr="00DA7928">
        <w:rPr>
          <w:rFonts w:cs="Calibri"/>
          <w:b/>
          <w:bCs/>
        </w:rPr>
        <w:t>Przygotowanie podłoża</w:t>
      </w:r>
    </w:p>
    <w:p w:rsidR="00DA7928" w:rsidRPr="00DA7928" w:rsidRDefault="00DA7928" w:rsidP="00DA7928">
      <w:pPr>
        <w:spacing w:after="0"/>
        <w:jc w:val="both"/>
        <w:rPr>
          <w:rFonts w:cs="Calibri"/>
          <w:bCs/>
        </w:rPr>
      </w:pPr>
      <w:r w:rsidRPr="00DA7928">
        <w:rPr>
          <w:rFonts w:cs="Calibri"/>
          <w:bCs/>
        </w:rPr>
        <w:t xml:space="preserve">Podłoże musi być suche. Jeżeli istnieje potrzeba zredukowania chłonności podłoża, należy podłoże zagruntować emulsją gruntującą. W przypadku klejenia na trudne do oczyszczenia </w:t>
      </w:r>
      <w:r w:rsidRPr="00DA7928">
        <w:rPr>
          <w:rFonts w:cs="Calibri"/>
          <w:bCs/>
        </w:rPr>
        <w:br/>
      </w:r>
      <w:r w:rsidRPr="00DA7928">
        <w:rPr>
          <w:rFonts w:cs="Calibri"/>
          <w:bCs/>
        </w:rPr>
        <w:lastRenderedPageBreak/>
        <w:t>i niestabilne podłoże zaleca się wykonać próbę przyczepności, polegającą na przyklejeniu płytki i sprawdzeniu połączenia po 48 godzinach.</w:t>
      </w:r>
    </w:p>
    <w:p w:rsidR="00DA7928" w:rsidRPr="00DA7928" w:rsidRDefault="00DA7928" w:rsidP="00DA7928">
      <w:pPr>
        <w:spacing w:after="0"/>
        <w:jc w:val="both"/>
        <w:rPr>
          <w:rFonts w:cs="Calibri"/>
          <w:bCs/>
        </w:rPr>
      </w:pPr>
      <w:r w:rsidRPr="00DA7928">
        <w:rPr>
          <w:rFonts w:cs="Calibri"/>
          <w:bCs/>
        </w:rPr>
        <w:t xml:space="preserve">Podłoże pod płytki musi być mocne i odpowiednio równe, oczyszczone z brudu, kurzu, wapna, tłuszczu, resztek powłok malarskich. Wszystkie luźne ("głuche") fragmenty podłoża muszą być skute, dotyczy to zarówno ścian jak i posadzek. </w:t>
      </w:r>
    </w:p>
    <w:p w:rsidR="00DA7928" w:rsidRPr="00DA7928" w:rsidRDefault="00DA7928" w:rsidP="00DA7928">
      <w:pPr>
        <w:spacing w:after="0"/>
        <w:jc w:val="both"/>
        <w:rPr>
          <w:rFonts w:cs="Calibri"/>
          <w:bCs/>
        </w:rPr>
      </w:pPr>
      <w:r w:rsidRPr="00DA7928">
        <w:rPr>
          <w:rFonts w:cs="Calibri"/>
          <w:bCs/>
        </w:rPr>
        <w:t xml:space="preserve">Przez przyłożenie łaty o długości </w:t>
      </w:r>
      <w:smartTag w:uri="urn:schemas-microsoft-com:office:smarttags" w:element="metricconverter">
        <w:smartTagPr>
          <w:attr w:name="ProductID" w:val="2 m"/>
        </w:smartTagPr>
        <w:r w:rsidRPr="00DA7928">
          <w:rPr>
            <w:rFonts w:cs="Calibri"/>
            <w:bCs/>
          </w:rPr>
          <w:t>2 m</w:t>
        </w:r>
      </w:smartTag>
      <w:r w:rsidRPr="00DA7928">
        <w:rPr>
          <w:rFonts w:cs="Calibri"/>
          <w:bCs/>
        </w:rPr>
        <w:t xml:space="preserve"> należy sprawdzić wszystkie odchylenia płaszczyzny. Odchylenia od linii łaty większe od </w:t>
      </w:r>
      <w:smartTag w:uri="urn:schemas-microsoft-com:office:smarttags" w:element="metricconverter">
        <w:smartTagPr>
          <w:attr w:name="ProductID" w:val="5 mm"/>
        </w:smartTagPr>
        <w:r w:rsidRPr="00DA7928">
          <w:rPr>
            <w:rFonts w:cs="Calibri"/>
            <w:bCs/>
          </w:rPr>
          <w:t>5 mm</w:t>
        </w:r>
      </w:smartTag>
      <w:r w:rsidRPr="00DA7928">
        <w:rPr>
          <w:rFonts w:cs="Calibri"/>
          <w:bCs/>
        </w:rPr>
        <w:t xml:space="preserve"> musza być zniwelowane.</w:t>
      </w:r>
    </w:p>
    <w:p w:rsidR="00DA7928" w:rsidRPr="00DA7928" w:rsidRDefault="00DA7928" w:rsidP="00DA7928">
      <w:pPr>
        <w:spacing w:after="0"/>
        <w:jc w:val="both"/>
        <w:rPr>
          <w:rFonts w:cs="Calibri"/>
          <w:bCs/>
        </w:rPr>
      </w:pPr>
      <w:r w:rsidRPr="00DA7928">
        <w:rPr>
          <w:rFonts w:cs="Calibri"/>
          <w:bCs/>
        </w:rPr>
        <w:t>Wszystkie nierówności niwelujemy stosując zaprawę wyrównującą. Można stosować zaprawy wyrównujące z gotowych mieszanek.</w:t>
      </w:r>
    </w:p>
    <w:p w:rsidR="00DA7928" w:rsidRPr="00DA7928" w:rsidRDefault="00DA7928" w:rsidP="00DA7928">
      <w:pPr>
        <w:pStyle w:val="Akapitzlist"/>
        <w:numPr>
          <w:ilvl w:val="1"/>
          <w:numId w:val="18"/>
        </w:numPr>
        <w:spacing w:after="0"/>
        <w:jc w:val="both"/>
        <w:rPr>
          <w:rFonts w:cs="Calibri"/>
          <w:b/>
          <w:bCs/>
        </w:rPr>
      </w:pPr>
      <w:r w:rsidRPr="00DA7928">
        <w:rPr>
          <w:rFonts w:cs="Calibri"/>
          <w:b/>
          <w:bCs/>
        </w:rPr>
        <w:t>Przygotowanie i nanoszenie zaprawy klejowej</w:t>
      </w:r>
    </w:p>
    <w:p w:rsidR="00DA7928" w:rsidRPr="00DA7928" w:rsidRDefault="00DA7928" w:rsidP="00DA7928">
      <w:pPr>
        <w:spacing w:after="0"/>
        <w:jc w:val="both"/>
        <w:rPr>
          <w:rFonts w:cs="Calibri"/>
          <w:bCs/>
        </w:rPr>
      </w:pPr>
      <w:r w:rsidRPr="00DA7928">
        <w:rPr>
          <w:rFonts w:cs="Calibri"/>
          <w:bCs/>
        </w:rPr>
        <w:t>Zaprawę klejową z gotowych mieszanek przygotowuje się poprzez wsypanie suchej mieszanki do pojemnika z wodą i wymieszanie ręczne lub mechaniczne. Należy ściśle przestrzegać receptury dozowania wody podanej przez producenta. Po wymieszaniu przed użyciem należy pozostawić masę na 5 - 10 min. do tzw. ujednorodnienia. Po tym czasie należy zaprawę jeszcze raz krótko wymieszać.</w:t>
      </w:r>
    </w:p>
    <w:p w:rsidR="00DA7928" w:rsidRPr="00DA7928" w:rsidRDefault="00DA7928" w:rsidP="00DA7928">
      <w:pPr>
        <w:spacing w:after="0"/>
        <w:jc w:val="both"/>
        <w:rPr>
          <w:rFonts w:cs="Calibri"/>
          <w:bCs/>
        </w:rPr>
      </w:pPr>
      <w:r w:rsidRPr="00DA7928">
        <w:rPr>
          <w:rFonts w:cs="Calibri"/>
          <w:bCs/>
        </w:rPr>
        <w:t>Zaprawę klejową należy nanosić równomiernie, gładką stroną pacy, a następnie dokładnie rozprowadzamy po powierzchni pacą zębatą..</w:t>
      </w:r>
    </w:p>
    <w:p w:rsidR="00DA7928" w:rsidRPr="00DA7928" w:rsidRDefault="00DA7928" w:rsidP="00DA7928">
      <w:pPr>
        <w:pStyle w:val="Akapitzlist"/>
        <w:numPr>
          <w:ilvl w:val="1"/>
          <w:numId w:val="18"/>
        </w:numPr>
        <w:spacing w:after="0"/>
        <w:jc w:val="both"/>
        <w:rPr>
          <w:rFonts w:cs="Calibri"/>
          <w:b/>
          <w:bCs/>
        </w:rPr>
      </w:pPr>
      <w:r w:rsidRPr="00DA7928">
        <w:rPr>
          <w:rFonts w:cs="Calibri"/>
          <w:b/>
          <w:bCs/>
        </w:rPr>
        <w:t xml:space="preserve">Przyklejanie płytek ściennych </w:t>
      </w:r>
    </w:p>
    <w:p w:rsidR="00DA7928" w:rsidRPr="00DA7928" w:rsidRDefault="00DA7928" w:rsidP="00DA7928">
      <w:pPr>
        <w:spacing w:after="0"/>
        <w:jc w:val="both"/>
        <w:rPr>
          <w:rFonts w:cs="Calibri"/>
          <w:bCs/>
        </w:rPr>
      </w:pPr>
      <w:r w:rsidRPr="00DA7928">
        <w:rPr>
          <w:rFonts w:cs="Calibri"/>
          <w:bCs/>
        </w:rPr>
        <w:t>Płytki do wykonania prac winny pochodzić z jednej partii.</w:t>
      </w:r>
    </w:p>
    <w:p w:rsidR="00DA7928" w:rsidRPr="00DA7928" w:rsidRDefault="00DA7928" w:rsidP="00DA7928">
      <w:pPr>
        <w:spacing w:after="0"/>
        <w:jc w:val="both"/>
        <w:rPr>
          <w:rFonts w:cs="Calibri"/>
          <w:bCs/>
        </w:rPr>
      </w:pPr>
      <w:r w:rsidRPr="00DA7928">
        <w:rPr>
          <w:rFonts w:cs="Calibri"/>
          <w:bCs/>
        </w:rPr>
        <w:t>Przed przystąpieniem do przyklejania płytek należy dokonać dokładnego rozplanowania płytek na poszczególnych ścianach (kierunek rozkładu oraz poziomy ułożenia dla poszczególnych pomieszczeń według dokumentacji projektowej). Płytki należy rozkładać symetryczne na ścianach (docinanie w obydwu narożnikach). Na ścianach układanie płytek należy rozpocząć od drugiego rzędu. Pierwszy tzw. cokołowy rząd płytek należy przyklejać po ułożeniu płytek na posadzce.</w:t>
      </w:r>
    </w:p>
    <w:p w:rsidR="00DA7928" w:rsidRPr="00DA7928" w:rsidRDefault="00DA7928" w:rsidP="00DA7928">
      <w:pPr>
        <w:spacing w:after="0"/>
        <w:jc w:val="both"/>
        <w:rPr>
          <w:rFonts w:cs="Calibri"/>
          <w:bCs/>
        </w:rPr>
      </w:pPr>
      <w:r w:rsidRPr="00DA7928">
        <w:rPr>
          <w:rFonts w:cs="Calibri"/>
          <w:bCs/>
        </w:rPr>
        <w:t xml:space="preserve">Zaprawę klejową należy nanosić na powierzchnię nie większą niż </w:t>
      </w:r>
      <w:smartTag w:uri="urn:schemas-microsoft-com:office:smarttags" w:element="metricconverter">
        <w:smartTagPr>
          <w:attr w:name="ProductID" w:val="1 m2"/>
        </w:smartTagPr>
        <w:r w:rsidRPr="00DA7928">
          <w:rPr>
            <w:rFonts w:cs="Calibri"/>
            <w:bCs/>
          </w:rPr>
          <w:t>1 m</w:t>
        </w:r>
        <w:r w:rsidRPr="00DA7928">
          <w:rPr>
            <w:rFonts w:cs="Calibri"/>
            <w:bCs/>
            <w:vertAlign w:val="superscript"/>
          </w:rPr>
          <w:t>2</w:t>
        </w:r>
      </w:smartTag>
      <w:r w:rsidRPr="00DA7928">
        <w:rPr>
          <w:rFonts w:cs="Calibri"/>
          <w:bCs/>
        </w:rPr>
        <w:t>. Przyklejanie płytek należy rozpocząć od dołu. Równe spoiny należy uzyskać przez stosowanie krzyżyków dystansowych o wymiarze dopasowanym do szerokości spoiny.</w:t>
      </w:r>
    </w:p>
    <w:p w:rsidR="00DA7928" w:rsidRPr="00DA7928" w:rsidRDefault="00DA7928" w:rsidP="00DA7928">
      <w:pPr>
        <w:spacing w:after="0"/>
        <w:jc w:val="both"/>
        <w:rPr>
          <w:rFonts w:cs="Calibri"/>
          <w:bCs/>
        </w:rPr>
      </w:pPr>
      <w:r w:rsidRPr="00DA7928">
        <w:rPr>
          <w:rFonts w:cs="Calibri"/>
          <w:bCs/>
        </w:rPr>
        <w:t>Płytki po przyłożeniu do ściany lub podłogi dociskać ręką lub lekko dobijać gumowym młotkiem. Ewentualny nadmiar zaprawy, który wydostaje się przez spoinę należy usunąć przed stwardnieniem. Płytki po przyklejeniu winny mieć kontakt z zaprawą klejową na całości powierzchni.</w:t>
      </w:r>
    </w:p>
    <w:p w:rsidR="00DA7928" w:rsidRPr="00DA7928" w:rsidRDefault="00DA7928" w:rsidP="00DA7928">
      <w:pPr>
        <w:pStyle w:val="Akapitzlist"/>
        <w:numPr>
          <w:ilvl w:val="1"/>
          <w:numId w:val="18"/>
        </w:numPr>
        <w:spacing w:after="0"/>
        <w:jc w:val="both"/>
        <w:rPr>
          <w:rFonts w:cs="Calibri"/>
          <w:b/>
          <w:bCs/>
        </w:rPr>
      </w:pPr>
      <w:r w:rsidRPr="00DA7928">
        <w:rPr>
          <w:rFonts w:cs="Calibri"/>
          <w:b/>
          <w:bCs/>
        </w:rPr>
        <w:t>Docinanie płytek</w:t>
      </w:r>
    </w:p>
    <w:p w:rsidR="00DA7928" w:rsidRPr="00DA7928" w:rsidRDefault="00DA7928" w:rsidP="00DA7928">
      <w:pPr>
        <w:spacing w:after="0"/>
        <w:jc w:val="both"/>
        <w:rPr>
          <w:rFonts w:cs="Calibri"/>
          <w:bCs/>
        </w:rPr>
      </w:pPr>
      <w:r w:rsidRPr="00DA7928">
        <w:rPr>
          <w:rFonts w:cs="Calibri"/>
          <w:bCs/>
        </w:rPr>
        <w:t>Docinanie najlepiej wykonać przy użyciu odpowiednich narzędzi, pamiętając o dobraniu właściwego ich wymiaru. Płytki docinane w narożnikach i przy ościeżach należy przyklejać osobno jako ostatnie. Pamiętać należy o zachowaniu odpowiedniego wymiaru spoiny.</w:t>
      </w:r>
    </w:p>
    <w:p w:rsidR="00DA7928" w:rsidRPr="00DA7928" w:rsidRDefault="00DA7928" w:rsidP="00DA7928">
      <w:pPr>
        <w:pStyle w:val="Akapitzlist"/>
        <w:numPr>
          <w:ilvl w:val="1"/>
          <w:numId w:val="18"/>
        </w:numPr>
        <w:spacing w:after="0"/>
        <w:jc w:val="both"/>
        <w:rPr>
          <w:rFonts w:cs="Calibri"/>
          <w:b/>
          <w:bCs/>
        </w:rPr>
      </w:pPr>
      <w:r w:rsidRPr="00DA7928">
        <w:rPr>
          <w:rFonts w:cs="Calibri"/>
          <w:b/>
          <w:bCs/>
        </w:rPr>
        <w:t>Spoinowanie</w:t>
      </w:r>
    </w:p>
    <w:p w:rsidR="00DA7928" w:rsidRPr="00DA7928" w:rsidRDefault="00DA7928" w:rsidP="00DA7928">
      <w:pPr>
        <w:spacing w:after="0"/>
        <w:jc w:val="both"/>
        <w:rPr>
          <w:rFonts w:cs="Calibri"/>
          <w:bCs/>
        </w:rPr>
      </w:pPr>
      <w:r w:rsidRPr="00DA7928">
        <w:rPr>
          <w:rFonts w:cs="Calibri"/>
          <w:bCs/>
        </w:rPr>
        <w:t>Do wypełniania pustych spoin pomiędzy płytkami można przystąpić co najmniej 24 h od zakończenia przyklejania płytek. Gotowe mieszanki zapraw do fugowania należy wsypać do pojemnika z wodą i mieszać ręcznie lub mechanicznie, aż do uzyskania jednorodnej masy. Po wymieszaniu przed użyciem masę należy pozostawić na 5 -10 min. do tzw. ujednorodnienia. Po tym czasie należy zaprawę jeszcze raz krótko wymieszać.</w:t>
      </w:r>
    </w:p>
    <w:p w:rsidR="00DA7928" w:rsidRPr="00DA7928" w:rsidRDefault="00DA7928" w:rsidP="00DA7928">
      <w:pPr>
        <w:spacing w:after="0"/>
        <w:jc w:val="both"/>
        <w:rPr>
          <w:rFonts w:cs="Calibri"/>
          <w:bCs/>
        </w:rPr>
      </w:pPr>
      <w:r w:rsidRPr="00DA7928">
        <w:rPr>
          <w:rFonts w:cs="Calibri"/>
          <w:bCs/>
        </w:rPr>
        <w:t>Po ponownym wymieszaniu zaprawę należy wprowadzać w spoiny przy użyciu gumowej szpachelki lub pacy oklejonej gumą. Nadmiar zaprawy należy zbierać pacą i ponownie wprowadzać w spoiny.</w:t>
      </w:r>
    </w:p>
    <w:p w:rsidR="00DA7928" w:rsidRPr="00DA7928" w:rsidRDefault="00DA7928" w:rsidP="00DA7928">
      <w:pPr>
        <w:spacing w:after="0"/>
        <w:jc w:val="both"/>
        <w:rPr>
          <w:rFonts w:cs="Calibri"/>
          <w:bCs/>
        </w:rPr>
      </w:pPr>
      <w:r w:rsidRPr="00DA7928">
        <w:rPr>
          <w:rFonts w:cs="Calibri"/>
          <w:bCs/>
        </w:rPr>
        <w:t xml:space="preserve">Po lekkim przeschnięciu zaprawy (15-30 min.) należy wykonać wstępne zmycia powierzchni w celu zebrania nadmiaru zaprawy i jej </w:t>
      </w:r>
      <w:proofErr w:type="spellStart"/>
      <w:r w:rsidRPr="00DA7928">
        <w:rPr>
          <w:rFonts w:cs="Calibri"/>
          <w:bCs/>
        </w:rPr>
        <w:t>wylicowania</w:t>
      </w:r>
      <w:proofErr w:type="spellEnd"/>
      <w:r w:rsidRPr="00DA7928">
        <w:rPr>
          <w:rFonts w:cs="Calibri"/>
          <w:bCs/>
        </w:rPr>
        <w:t xml:space="preserve"> z powierzchnią płytek. Czynność tę należy wykonać przy użyciu gąbki lub pacy oklejonej gąbką o dużych porach, lekko nasączonej czystą wodą. Po ponownym </w:t>
      </w:r>
      <w:r w:rsidRPr="00DA7928">
        <w:rPr>
          <w:rFonts w:cs="Calibri"/>
          <w:bCs/>
        </w:rPr>
        <w:lastRenderedPageBreak/>
        <w:t>przeschnięciu zaprawy (1 h) objawiającym się rozjaśnieniem na powierzchni płytek, należy przystąpić do końcowego czyszczenia, które wykonuje się czystą flanelową ściereczką lub szorstką gąbką..</w:t>
      </w:r>
    </w:p>
    <w:p w:rsidR="00DA7928" w:rsidRPr="00DA7928" w:rsidRDefault="00DA7928" w:rsidP="00DA7928">
      <w:pPr>
        <w:spacing w:after="0"/>
        <w:jc w:val="both"/>
        <w:rPr>
          <w:rFonts w:cs="Calibri"/>
          <w:bCs/>
        </w:rPr>
      </w:pPr>
      <w:r w:rsidRPr="00DA7928">
        <w:rPr>
          <w:rFonts w:cs="Calibri"/>
          <w:bCs/>
        </w:rPr>
        <w:t>Połączenia pomiędzy ścianą a posadzką w pomieszczeniach mokrych, wymagają zastosowania materiałów zapewniających szczelność np. silikonowe masy do uszczelniania.</w:t>
      </w:r>
    </w:p>
    <w:p w:rsidR="00DA7928" w:rsidRPr="00DA7928" w:rsidRDefault="00DA7928" w:rsidP="00DA7928">
      <w:pPr>
        <w:pStyle w:val="Akapitzlist"/>
        <w:numPr>
          <w:ilvl w:val="1"/>
          <w:numId w:val="18"/>
        </w:numPr>
        <w:spacing w:after="0"/>
        <w:jc w:val="both"/>
        <w:rPr>
          <w:rFonts w:cs="Calibri"/>
          <w:b/>
          <w:bCs/>
        </w:rPr>
      </w:pPr>
      <w:r w:rsidRPr="00DA7928">
        <w:rPr>
          <w:rFonts w:cs="Calibri"/>
          <w:b/>
          <w:bCs/>
        </w:rPr>
        <w:t>Prace pielęgnacyjne</w:t>
      </w:r>
    </w:p>
    <w:p w:rsidR="00DA7928" w:rsidRPr="00DA7928" w:rsidRDefault="00DA7928" w:rsidP="00DA7928">
      <w:pPr>
        <w:spacing w:after="0"/>
        <w:jc w:val="both"/>
        <w:rPr>
          <w:rFonts w:cs="Calibri"/>
          <w:bCs/>
        </w:rPr>
      </w:pPr>
      <w:r w:rsidRPr="00DA7928">
        <w:rPr>
          <w:rFonts w:cs="Calibri"/>
          <w:bCs/>
        </w:rPr>
        <w:t>Silne zabrudzenia, naloty cementowe i resztki zaprawy klejowej można usunąć specjalnymi płynami, aby w/w płyn nie spowodował wypłukania masy, jak również pigmentu ze spoin kolorowych, należy ostrożnie czyścić tylko zabrudzone lico płytek, używając do tego celu czystych, miękkich, flanelowych ściereczek.</w:t>
      </w:r>
    </w:p>
    <w:p w:rsidR="00DA7928" w:rsidRDefault="00DA7928" w:rsidP="00DA7928">
      <w:pPr>
        <w:spacing w:after="0"/>
        <w:jc w:val="both"/>
        <w:rPr>
          <w:rFonts w:cs="Calibri"/>
          <w:bCs/>
        </w:rPr>
      </w:pPr>
      <w:r w:rsidRPr="00DA7928">
        <w:rPr>
          <w:rFonts w:cs="Calibri"/>
          <w:bCs/>
        </w:rPr>
        <w:t>Przez 2 - 4 dni należy zraszać spoiny czystą wodą. Spoiny po wyschnięciu należy zabezpieczyć przed zabrudzeniem specjalnymi preparatami impregnującymi. Zabezpieczenie spoiny odbywa etę przez pomalowanie jej płynem: Używać najeży pędzelka o odpowiedniej grubości. Płyn nanosimy tylko na powierzchnię spoiny.</w:t>
      </w:r>
    </w:p>
    <w:p w:rsidR="00DA7928" w:rsidRDefault="00DA7928" w:rsidP="00955831">
      <w:pPr>
        <w:spacing w:after="0"/>
        <w:jc w:val="both"/>
        <w:rPr>
          <w:rFonts w:cs="Calibri"/>
          <w:bCs/>
        </w:rPr>
      </w:pPr>
    </w:p>
    <w:p w:rsidR="00A76D94" w:rsidRPr="00A76D94" w:rsidRDefault="00A76D94" w:rsidP="0060138A">
      <w:pPr>
        <w:pStyle w:val="Akapitzlist"/>
        <w:numPr>
          <w:ilvl w:val="0"/>
          <w:numId w:val="18"/>
        </w:numPr>
        <w:spacing w:after="0"/>
        <w:jc w:val="both"/>
        <w:rPr>
          <w:rFonts w:cs="Calibri"/>
          <w:b/>
          <w:bCs/>
        </w:rPr>
      </w:pPr>
      <w:r w:rsidRPr="00A76D94">
        <w:rPr>
          <w:rFonts w:cs="Calibri"/>
          <w:b/>
          <w:bCs/>
        </w:rPr>
        <w:t>KONTROLA JAKOŚCI ROBÓT</w:t>
      </w:r>
    </w:p>
    <w:p w:rsidR="00A76D94" w:rsidRPr="00A76D94" w:rsidRDefault="00A76D94" w:rsidP="0060138A">
      <w:pPr>
        <w:pStyle w:val="Akapitzlist"/>
        <w:numPr>
          <w:ilvl w:val="1"/>
          <w:numId w:val="18"/>
        </w:numPr>
        <w:spacing w:after="0"/>
        <w:jc w:val="both"/>
        <w:rPr>
          <w:rFonts w:cs="Calibri"/>
          <w:b/>
          <w:bCs/>
        </w:rPr>
      </w:pPr>
      <w:r w:rsidRPr="00A76D94">
        <w:rPr>
          <w:rFonts w:cs="Calibri"/>
          <w:b/>
          <w:bCs/>
        </w:rPr>
        <w:t>Ogólne wymagania dotyczące kontroli jakości robót</w:t>
      </w:r>
    </w:p>
    <w:p w:rsidR="00A76D94" w:rsidRPr="00A76D94" w:rsidRDefault="00A76D94" w:rsidP="00A76D94">
      <w:pPr>
        <w:spacing w:after="0"/>
        <w:jc w:val="both"/>
        <w:rPr>
          <w:rFonts w:cs="Calibri"/>
          <w:bCs/>
        </w:rPr>
      </w:pPr>
      <w:r w:rsidRPr="00A76D94">
        <w:rPr>
          <w:rFonts w:cs="Calibri"/>
          <w:bCs/>
        </w:rPr>
        <w:t>Ogólne wymagania dotyczące kontroli jakości robót podano w „Wymaganiach ogólnych”.</w:t>
      </w:r>
    </w:p>
    <w:p w:rsidR="00A76D94" w:rsidRPr="00A76D94" w:rsidRDefault="00A76D94" w:rsidP="00A76D94">
      <w:pPr>
        <w:spacing w:after="0"/>
        <w:jc w:val="both"/>
        <w:rPr>
          <w:rFonts w:cs="Calibri"/>
          <w:bCs/>
        </w:rPr>
      </w:pPr>
      <w:r w:rsidRPr="00A76D94">
        <w:rPr>
          <w:rFonts w:cs="Calibri"/>
          <w:bCs/>
        </w:rPr>
        <w:t xml:space="preserve"> Płytki powinny być ułożone tak, aby tworzyły układ wzajemnie prostopadłych linii prostych.</w:t>
      </w:r>
      <w:r w:rsidRPr="00A76D94">
        <w:rPr>
          <w:rFonts w:cs="Calibri"/>
          <w:b/>
          <w:bCs/>
        </w:rPr>
        <w:t xml:space="preserve"> </w:t>
      </w:r>
      <w:r w:rsidRPr="00A76D94">
        <w:rPr>
          <w:rFonts w:cs="Calibri"/>
          <w:bCs/>
        </w:rPr>
        <w:t>Dopuszczalne odchylenie od kierunku pionowego lub poziomego nie powinno być większe niż 1mm na 1m. Dopuszczalne odchylenie powierzchni okładziny od płaszczyzny nie powinno być większe niż 1mm na 1m. Ułożona okładzina winna być całą powierzchnią trwale związana z podłożem za pośrednictwem warstwy wiążącej.</w:t>
      </w:r>
    </w:p>
    <w:p w:rsidR="00A76D94" w:rsidRPr="00A76D94" w:rsidRDefault="00A76D94" w:rsidP="00A76D94">
      <w:pPr>
        <w:spacing w:after="0"/>
        <w:jc w:val="both"/>
        <w:rPr>
          <w:rFonts w:cs="Calibri"/>
          <w:bCs/>
        </w:rPr>
      </w:pPr>
      <w:r w:rsidRPr="00A76D94">
        <w:rPr>
          <w:rFonts w:cs="Calibri"/>
          <w:bCs/>
        </w:rPr>
        <w:t>Wymiary płytek ceramicznych oraz sprawdzanie jakości powierzchni winno odbywać się na podstawie warunków podanych w PN-EN 87:1994</w:t>
      </w:r>
    </w:p>
    <w:p w:rsidR="00A76D94" w:rsidRPr="00A76D94" w:rsidRDefault="00A76D94" w:rsidP="00A76D94">
      <w:pPr>
        <w:spacing w:after="0"/>
        <w:jc w:val="both"/>
        <w:rPr>
          <w:rFonts w:cs="Calibri"/>
          <w:bCs/>
        </w:rPr>
      </w:pPr>
      <w:r w:rsidRPr="00A76D94">
        <w:rPr>
          <w:rFonts w:cs="Calibri"/>
          <w:bCs/>
        </w:rPr>
        <w:t>Zasady pobierania próbek i warunki odbioru powinny być zgodne z PN-EN 163:1994</w:t>
      </w:r>
    </w:p>
    <w:p w:rsidR="00A76D94" w:rsidRPr="00A76D94" w:rsidRDefault="00A76D94" w:rsidP="00A76D94">
      <w:pPr>
        <w:spacing w:after="0"/>
        <w:jc w:val="both"/>
        <w:rPr>
          <w:rFonts w:cs="Calibri"/>
          <w:bCs/>
        </w:rPr>
      </w:pPr>
      <w:r w:rsidRPr="00A76D94">
        <w:rPr>
          <w:rFonts w:cs="Calibri"/>
          <w:bCs/>
        </w:rPr>
        <w:t>Wymagania dotyczące jakości powierzchni, wymiarów, jak i właściwości fizycznych i chemicznych podano w tablicy poniżej :</w:t>
      </w:r>
    </w:p>
    <w:tbl>
      <w:tblPr>
        <w:tblW w:w="9360" w:type="dxa"/>
        <w:tblInd w:w="8" w:type="dxa"/>
        <w:tblLayout w:type="fixed"/>
        <w:tblCellMar>
          <w:left w:w="0" w:type="dxa"/>
          <w:right w:w="0" w:type="dxa"/>
        </w:tblCellMar>
        <w:tblLook w:val="0000" w:firstRow="0" w:lastRow="0" w:firstColumn="0" w:lastColumn="0" w:noHBand="0" w:noVBand="0"/>
      </w:tblPr>
      <w:tblGrid>
        <w:gridCol w:w="5027"/>
        <w:gridCol w:w="2287"/>
        <w:gridCol w:w="2046"/>
      </w:tblGrid>
      <w:tr w:rsidR="00A76D94" w:rsidRPr="00A76D94" w:rsidTr="00A76D94">
        <w:trPr>
          <w:cantSplit/>
        </w:trPr>
        <w:tc>
          <w:tcPr>
            <w:tcW w:w="5027" w:type="dxa"/>
            <w:tcBorders>
              <w:top w:val="single" w:sz="6" w:space="0" w:color="000000"/>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
                <w:bCs/>
                <w:sz w:val="18"/>
                <w:szCs w:val="18"/>
              </w:rPr>
              <w:t>Parametr</w:t>
            </w:r>
            <w:r w:rsidRPr="00A76D94">
              <w:rPr>
                <w:rFonts w:cs="Calibri"/>
                <w:bCs/>
                <w:sz w:val="18"/>
                <w:szCs w:val="18"/>
              </w:rPr>
              <w:tab/>
            </w:r>
            <w:r w:rsidRPr="00A76D94">
              <w:rPr>
                <w:rFonts w:cs="Calibri"/>
                <w:bCs/>
                <w:sz w:val="18"/>
                <w:szCs w:val="18"/>
              </w:rPr>
              <w:tab/>
            </w:r>
            <w:r w:rsidRPr="00A76D94">
              <w:rPr>
                <w:rFonts w:cs="Calibri"/>
                <w:bCs/>
                <w:sz w:val="18"/>
                <w:szCs w:val="18"/>
              </w:rPr>
              <w:tab/>
            </w:r>
            <w:r w:rsidRPr="00A76D94">
              <w:rPr>
                <w:rFonts w:cs="Calibri"/>
                <w:bCs/>
                <w:sz w:val="18"/>
                <w:szCs w:val="18"/>
              </w:rPr>
              <w:tab/>
              <w:t xml:space="preserve">                  </w:t>
            </w:r>
            <w:r w:rsidRPr="00A76D94">
              <w:rPr>
                <w:rFonts w:cs="Calibri"/>
                <w:bCs/>
                <w:sz w:val="18"/>
                <w:szCs w:val="18"/>
              </w:rPr>
              <w:tab/>
            </w:r>
            <w:r w:rsidRPr="00A76D94">
              <w:rPr>
                <w:rFonts w:cs="Calibri"/>
                <w:bCs/>
                <w:sz w:val="18"/>
                <w:szCs w:val="18"/>
              </w:rPr>
              <w:tab/>
              <w:t xml:space="preserve">                                                                                </w:t>
            </w:r>
          </w:p>
        </w:tc>
        <w:tc>
          <w:tcPr>
            <w:tcW w:w="2287" w:type="dxa"/>
            <w:tcBorders>
              <w:top w:val="single" w:sz="6" w:space="0" w:color="000000"/>
              <w:left w:val="single" w:sz="6" w:space="0" w:color="000000"/>
              <w:bottom w:val="single" w:sz="6" w:space="0" w:color="000000"/>
            </w:tcBorders>
          </w:tcPr>
          <w:p w:rsidR="00A76D94" w:rsidRPr="00A76D94" w:rsidRDefault="00A76D94" w:rsidP="00A76D94">
            <w:pPr>
              <w:spacing w:after="0"/>
              <w:rPr>
                <w:rFonts w:cs="Calibri"/>
                <w:b/>
                <w:bCs/>
                <w:sz w:val="18"/>
                <w:szCs w:val="18"/>
              </w:rPr>
            </w:pPr>
            <w:r w:rsidRPr="00A76D94">
              <w:rPr>
                <w:rFonts w:cs="Calibri"/>
                <w:b/>
                <w:bCs/>
                <w:sz w:val="18"/>
                <w:szCs w:val="18"/>
              </w:rPr>
              <w:t>Tolerancja</w:t>
            </w:r>
            <w:r w:rsidRPr="00A76D94">
              <w:rPr>
                <w:rFonts w:cs="Calibri"/>
                <w:b/>
                <w:bCs/>
                <w:sz w:val="18"/>
                <w:szCs w:val="18"/>
              </w:rPr>
              <w:tab/>
            </w:r>
          </w:p>
        </w:tc>
        <w:tc>
          <w:tcPr>
            <w:tcW w:w="2046" w:type="dxa"/>
            <w:tcBorders>
              <w:top w:val="single" w:sz="6" w:space="0" w:color="000000"/>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
                <w:bCs/>
                <w:sz w:val="18"/>
                <w:szCs w:val="18"/>
              </w:rPr>
              <w:t>Badania wg  normy</w:t>
            </w:r>
            <w:r w:rsidRPr="00A76D94">
              <w:rPr>
                <w:rFonts w:cs="Calibri"/>
                <w:bCs/>
                <w:sz w:val="18"/>
                <w:szCs w:val="18"/>
              </w:rPr>
              <w:t xml:space="preserve">        </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
                <w:bCs/>
                <w:sz w:val="18"/>
                <w:szCs w:val="18"/>
              </w:rPr>
            </w:pPr>
            <w:r w:rsidRPr="00A76D94">
              <w:rPr>
                <w:rFonts w:cs="Calibri"/>
                <w:b/>
                <w:bCs/>
                <w:sz w:val="18"/>
                <w:szCs w:val="18"/>
              </w:rPr>
              <w:t>Wymiary i jakość powierzchni</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Długość i szerokość e-odchylenie średnie wymiaru każdej płytki (2 lub 4 boki) od wymiaru roboczego</w:t>
            </w:r>
            <w:r w:rsidRPr="00A76D94">
              <w:rPr>
                <w:rFonts w:cs="Calibri"/>
                <w:bCs/>
                <w:sz w:val="18"/>
                <w:szCs w:val="18"/>
              </w:rPr>
              <w:tab/>
              <w:t xml:space="preserve">                                                             </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±0,6%</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EN98</w:t>
            </w:r>
          </w:p>
        </w:tc>
      </w:tr>
      <w:tr w:rsidR="00A76D94" w:rsidRPr="00A76D94" w:rsidTr="00A76D94">
        <w:trPr>
          <w:cantSplit/>
          <w:trHeight w:val="703"/>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 xml:space="preserve">Długość i szerokość f-odchylenie średniego wymiaru każdej płytki (2 lub 4 boki) od średniego wymiaru </w:t>
            </w:r>
            <w:r w:rsidRPr="00A76D94">
              <w:rPr>
                <w:rFonts w:cs="Calibri"/>
                <w:bCs/>
                <w:sz w:val="18"/>
                <w:szCs w:val="18"/>
              </w:rPr>
              <w:br/>
              <w:t xml:space="preserve">10 próbek (20 lub 40 boków)              </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±0.5%</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EN98</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Grubość.  Odchylenie średniej grubości każdej płytki</w:t>
            </w:r>
          </w:p>
          <w:p w:rsidR="00A76D94" w:rsidRPr="00A76D94" w:rsidRDefault="00A76D94" w:rsidP="00A76D94">
            <w:pPr>
              <w:spacing w:after="0"/>
              <w:rPr>
                <w:rFonts w:cs="Calibri"/>
                <w:bCs/>
                <w:sz w:val="18"/>
                <w:szCs w:val="18"/>
              </w:rPr>
            </w:pPr>
            <w:r w:rsidRPr="00A76D94">
              <w:rPr>
                <w:rFonts w:cs="Calibri"/>
                <w:bCs/>
                <w:sz w:val="18"/>
                <w:szCs w:val="18"/>
              </w:rPr>
              <w:t>od wymiaru roboczego</w:t>
            </w:r>
            <w:r w:rsidRPr="00A76D94">
              <w:rPr>
                <w:rFonts w:cs="Calibri"/>
                <w:bCs/>
                <w:sz w:val="18"/>
                <w:szCs w:val="18"/>
              </w:rPr>
              <w:tab/>
              <w:t xml:space="preserve">                                                                   </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±5</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EN98</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 xml:space="preserve">Krzywizna boków (boki licowe) </w:t>
            </w:r>
          </w:p>
          <w:p w:rsidR="00A76D94" w:rsidRPr="00A76D94" w:rsidRDefault="00A76D94" w:rsidP="00A76D94">
            <w:pPr>
              <w:spacing w:after="0"/>
              <w:rPr>
                <w:rFonts w:cs="Calibri"/>
                <w:bCs/>
                <w:sz w:val="18"/>
                <w:szCs w:val="18"/>
              </w:rPr>
            </w:pPr>
            <w:r w:rsidRPr="00A76D94">
              <w:rPr>
                <w:rFonts w:cs="Calibri"/>
                <w:bCs/>
                <w:sz w:val="18"/>
                <w:szCs w:val="18"/>
              </w:rPr>
              <w:t>Maksymalne odchylenie od linii odniesione do odpowiednich wymiarów roboczych</w:t>
            </w:r>
            <w:r w:rsidRPr="00A76D94">
              <w:rPr>
                <w:rFonts w:cs="Calibri"/>
                <w:bCs/>
                <w:sz w:val="18"/>
                <w:szCs w:val="18"/>
              </w:rPr>
              <w:tab/>
              <w:t xml:space="preserve">                                                             </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±0,5%</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EN98</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 xml:space="preserve">Odchylenie naroży kąta prostego </w:t>
            </w:r>
          </w:p>
          <w:p w:rsidR="00A76D94" w:rsidRPr="00A76D94" w:rsidRDefault="00A76D94" w:rsidP="00A76D94">
            <w:pPr>
              <w:spacing w:after="0"/>
              <w:rPr>
                <w:rFonts w:cs="Calibri"/>
                <w:bCs/>
                <w:sz w:val="18"/>
                <w:szCs w:val="18"/>
              </w:rPr>
            </w:pPr>
            <w:r w:rsidRPr="00A76D94">
              <w:rPr>
                <w:rFonts w:cs="Calibri"/>
                <w:bCs/>
                <w:sz w:val="18"/>
                <w:szCs w:val="18"/>
              </w:rPr>
              <w:t xml:space="preserve">Maksymalne odchylenie od kąta prostego odniesione do odpowiednich wymiarów roboczych                                                   </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±0,6%</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EN98</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 xml:space="preserve">Płaskość powierzchni (maksymalne odchylenie): </w:t>
            </w:r>
          </w:p>
          <w:p w:rsidR="00A76D94" w:rsidRPr="00A76D94" w:rsidRDefault="00A76D94" w:rsidP="00A76D94">
            <w:pPr>
              <w:spacing w:after="0"/>
              <w:rPr>
                <w:rFonts w:cs="Calibri"/>
                <w:bCs/>
                <w:sz w:val="18"/>
                <w:szCs w:val="18"/>
              </w:rPr>
            </w:pPr>
            <w:r w:rsidRPr="00A76D94">
              <w:rPr>
                <w:rFonts w:cs="Calibri"/>
                <w:bCs/>
                <w:sz w:val="18"/>
                <w:szCs w:val="18"/>
              </w:rPr>
              <w:t>- krzywizna środka w odniesieniu od przekątnej obliczonej z wymiarów roboczych</w:t>
            </w:r>
            <w:r w:rsidRPr="00A76D94">
              <w:rPr>
                <w:rFonts w:cs="Calibri"/>
                <w:bCs/>
                <w:sz w:val="18"/>
                <w:szCs w:val="18"/>
              </w:rPr>
              <w:tab/>
              <w:t xml:space="preserve">                                                              </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±0,5%</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EN98</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Płaskość powierzchni (maksymalne odchylenie):</w:t>
            </w:r>
          </w:p>
          <w:p w:rsidR="00A76D94" w:rsidRPr="00A76D94" w:rsidRDefault="00A76D94" w:rsidP="00A76D94">
            <w:pPr>
              <w:spacing w:after="0"/>
              <w:rPr>
                <w:rFonts w:cs="Calibri"/>
                <w:bCs/>
                <w:sz w:val="18"/>
                <w:szCs w:val="18"/>
              </w:rPr>
            </w:pPr>
            <w:r w:rsidRPr="00A76D94">
              <w:rPr>
                <w:rFonts w:cs="Calibri"/>
                <w:bCs/>
                <w:sz w:val="18"/>
                <w:szCs w:val="18"/>
              </w:rPr>
              <w:t xml:space="preserve"> - krzywizna środków w odniesieniu do odpowiedniego</w:t>
            </w:r>
          </w:p>
          <w:p w:rsidR="00A76D94" w:rsidRPr="00A76D94" w:rsidRDefault="00A76D94" w:rsidP="00A76D94">
            <w:pPr>
              <w:spacing w:after="0"/>
              <w:rPr>
                <w:rFonts w:cs="Calibri"/>
                <w:bCs/>
                <w:sz w:val="18"/>
                <w:szCs w:val="18"/>
              </w:rPr>
            </w:pPr>
            <w:r w:rsidRPr="00A76D94">
              <w:rPr>
                <w:rFonts w:cs="Calibri"/>
                <w:bCs/>
                <w:sz w:val="18"/>
                <w:szCs w:val="18"/>
              </w:rPr>
              <w:t xml:space="preserve"> wymiaru roboczego</w:t>
            </w:r>
            <w:r w:rsidRPr="00A76D94">
              <w:rPr>
                <w:rFonts w:cs="Calibri"/>
                <w:bCs/>
                <w:sz w:val="18"/>
                <w:szCs w:val="18"/>
              </w:rPr>
              <w:tab/>
              <w:t xml:space="preserve">                                                                          </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±0,5%</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EN98</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lastRenderedPageBreak/>
              <w:t>Płaskość powierzchni (maksymalne odchylenie):</w:t>
            </w:r>
          </w:p>
          <w:p w:rsidR="00A76D94" w:rsidRPr="00A76D94" w:rsidRDefault="00A76D94" w:rsidP="00A76D94">
            <w:pPr>
              <w:spacing w:after="0"/>
              <w:rPr>
                <w:rFonts w:cs="Calibri"/>
                <w:bCs/>
                <w:sz w:val="18"/>
                <w:szCs w:val="18"/>
              </w:rPr>
            </w:pPr>
            <w:r w:rsidRPr="00A76D94">
              <w:rPr>
                <w:rFonts w:cs="Calibri"/>
                <w:bCs/>
                <w:sz w:val="18"/>
                <w:szCs w:val="18"/>
              </w:rPr>
              <w:t xml:space="preserve"> - wypaczenie odniesione do przekątnej obliczonej</w:t>
            </w:r>
          </w:p>
          <w:p w:rsidR="00A76D94" w:rsidRPr="00A76D94" w:rsidRDefault="00A76D94" w:rsidP="00A76D94">
            <w:pPr>
              <w:spacing w:after="0"/>
              <w:rPr>
                <w:rFonts w:cs="Calibri"/>
                <w:bCs/>
                <w:sz w:val="18"/>
                <w:szCs w:val="18"/>
              </w:rPr>
            </w:pPr>
            <w:r w:rsidRPr="00A76D94">
              <w:rPr>
                <w:rFonts w:cs="Calibri"/>
                <w:bCs/>
                <w:sz w:val="18"/>
                <w:szCs w:val="18"/>
              </w:rPr>
              <w:t xml:space="preserve"> z wymiarów roboczych</w:t>
            </w:r>
            <w:r w:rsidRPr="00A76D94">
              <w:rPr>
                <w:rFonts w:cs="Calibri"/>
                <w:bCs/>
                <w:sz w:val="18"/>
                <w:szCs w:val="18"/>
              </w:rPr>
              <w:tab/>
              <w:t xml:space="preserve">                                                              </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±0,5%</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EN98</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Jakość powierzchni licowej</w:t>
            </w:r>
            <w:r w:rsidRPr="00A76D94">
              <w:rPr>
                <w:rFonts w:cs="Calibri"/>
                <w:bCs/>
                <w:sz w:val="18"/>
                <w:szCs w:val="18"/>
              </w:rPr>
              <w:tab/>
            </w:r>
          </w:p>
          <w:p w:rsidR="00A76D94" w:rsidRPr="00A76D94" w:rsidRDefault="00A76D94" w:rsidP="00A76D94">
            <w:pPr>
              <w:spacing w:after="0"/>
              <w:rPr>
                <w:rFonts w:cs="Calibri"/>
                <w:bCs/>
                <w:sz w:val="18"/>
                <w:szCs w:val="18"/>
              </w:rPr>
            </w:pP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 xml:space="preserve">Minimum 95% płytek nie powinno mieć widocznych wad powodujących pogorszenie wyglądu </w:t>
            </w:r>
            <w:r w:rsidRPr="00A76D94">
              <w:rPr>
                <w:rFonts w:cs="Calibri"/>
                <w:bCs/>
                <w:sz w:val="18"/>
                <w:szCs w:val="18"/>
              </w:rPr>
              <w:br/>
              <w:t>powierzchni ułożonych z płytek</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EN98</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
                <w:bCs/>
                <w:sz w:val="18"/>
                <w:szCs w:val="18"/>
              </w:rPr>
            </w:pPr>
            <w:r w:rsidRPr="00A76D94">
              <w:rPr>
                <w:rFonts w:cs="Calibri"/>
                <w:b/>
                <w:bCs/>
                <w:sz w:val="18"/>
                <w:szCs w:val="18"/>
              </w:rPr>
              <w:t>Właściwości fizyczne</w:t>
            </w:r>
            <w:r w:rsidRPr="00A76D94">
              <w:rPr>
                <w:rFonts w:cs="Calibri"/>
                <w:b/>
                <w:bCs/>
                <w:sz w:val="18"/>
                <w:szCs w:val="18"/>
              </w:rPr>
              <w:tab/>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Nasiąkliwość wodna</w:t>
            </w:r>
            <w:r w:rsidRPr="00A76D94">
              <w:rPr>
                <w:rFonts w:cs="Calibri"/>
                <w:bCs/>
                <w:sz w:val="18"/>
                <w:szCs w:val="18"/>
              </w:rPr>
              <w:tab/>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Średnio &lt; 3%</w:t>
            </w:r>
          </w:p>
          <w:p w:rsidR="00A76D94" w:rsidRPr="00A76D94" w:rsidRDefault="00A76D94" w:rsidP="00A76D94">
            <w:pPr>
              <w:spacing w:after="0"/>
              <w:rPr>
                <w:rFonts w:cs="Calibri"/>
                <w:bCs/>
                <w:sz w:val="18"/>
                <w:szCs w:val="18"/>
              </w:rPr>
            </w:pPr>
            <w:r w:rsidRPr="00A76D94">
              <w:rPr>
                <w:rFonts w:cs="Calibri"/>
                <w:bCs/>
                <w:sz w:val="18"/>
                <w:szCs w:val="18"/>
              </w:rPr>
              <w:t>Max wartość jednostkowa 3.3%</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EN99</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Wytrzymałość na zginanie</w:t>
            </w:r>
            <w:r w:rsidRPr="00A76D94">
              <w:rPr>
                <w:rFonts w:cs="Calibri"/>
                <w:bCs/>
                <w:sz w:val="18"/>
                <w:szCs w:val="18"/>
              </w:rPr>
              <w:tab/>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Minimum 27 N/mm2</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EN100</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Twardość powierzchni</w:t>
            </w:r>
            <w:r w:rsidRPr="00A76D94">
              <w:rPr>
                <w:rFonts w:cs="Calibri"/>
                <w:bCs/>
                <w:sz w:val="18"/>
                <w:szCs w:val="18"/>
              </w:rPr>
              <w:tab/>
            </w:r>
            <w:r w:rsidRPr="00A76D94">
              <w:rPr>
                <w:rFonts w:cs="Calibri"/>
                <w:bCs/>
                <w:sz w:val="18"/>
                <w:szCs w:val="18"/>
              </w:rPr>
              <w:tab/>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Min 6 (w skali MOHSA)</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 101</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Odporność na ścieranie wgłębne ( strata objętości )</w:t>
            </w:r>
            <w:r w:rsidRPr="00A76D94">
              <w:rPr>
                <w:rFonts w:cs="Calibri"/>
                <w:bCs/>
                <w:sz w:val="18"/>
                <w:szCs w:val="18"/>
              </w:rPr>
              <w:tab/>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vertAlign w:val="superscript"/>
              </w:rPr>
            </w:pPr>
            <w:r w:rsidRPr="00A76D94">
              <w:rPr>
                <w:rFonts w:cs="Calibri"/>
                <w:bCs/>
                <w:sz w:val="18"/>
                <w:szCs w:val="18"/>
              </w:rPr>
              <w:t>max. 200mm</w:t>
            </w:r>
            <w:r w:rsidRPr="00A76D94">
              <w:rPr>
                <w:rFonts w:cs="Calibri"/>
                <w:bCs/>
                <w:sz w:val="18"/>
                <w:szCs w:val="18"/>
                <w:vertAlign w:val="superscript"/>
              </w:rPr>
              <w:t>3</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EN102</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 xml:space="preserve">Współczynnik linowej rozszerzalności cieplnej od temperatury pokojowej do </w:t>
            </w:r>
            <w:smartTag w:uri="urn:schemas-microsoft-com:office:smarttags" w:element="metricconverter">
              <w:smartTagPr>
                <w:attr w:name="ProductID" w:val="100ﾰC"/>
              </w:smartTagPr>
              <w:r w:rsidRPr="00A76D94">
                <w:rPr>
                  <w:rFonts w:cs="Calibri"/>
                  <w:bCs/>
                  <w:sz w:val="18"/>
                  <w:szCs w:val="18"/>
                </w:rPr>
                <w:t>100°C</w:t>
              </w:r>
            </w:smartTag>
            <w:r w:rsidRPr="00A76D94">
              <w:rPr>
                <w:rFonts w:cs="Calibri"/>
                <w:bCs/>
                <w:sz w:val="18"/>
                <w:szCs w:val="18"/>
              </w:rPr>
              <w:tab/>
            </w:r>
            <w:r w:rsidRPr="00A76D94">
              <w:rPr>
                <w:rFonts w:cs="Calibri"/>
                <w:bCs/>
                <w:sz w:val="18"/>
                <w:szCs w:val="18"/>
              </w:rPr>
              <w:tab/>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vertAlign w:val="superscript"/>
              </w:rPr>
            </w:pPr>
            <w:r w:rsidRPr="00A76D94">
              <w:rPr>
                <w:rFonts w:cs="Calibri"/>
                <w:bCs/>
                <w:sz w:val="18"/>
                <w:szCs w:val="18"/>
              </w:rPr>
              <w:t>max. 9x10</w:t>
            </w:r>
            <w:r w:rsidRPr="00A76D94">
              <w:rPr>
                <w:rFonts w:cs="Calibri"/>
                <w:bCs/>
                <w:sz w:val="18"/>
                <w:szCs w:val="18"/>
                <w:vertAlign w:val="superscript"/>
              </w:rPr>
              <w:t>-6</w:t>
            </w:r>
            <w:r w:rsidRPr="00A76D94">
              <w:rPr>
                <w:rFonts w:cs="Calibri"/>
                <w:bCs/>
                <w:sz w:val="18"/>
                <w:szCs w:val="18"/>
              </w:rPr>
              <w:t xml:space="preserve"> xK</w:t>
            </w:r>
            <w:r w:rsidRPr="00A76D94">
              <w:rPr>
                <w:rFonts w:cs="Calibri"/>
                <w:bCs/>
                <w:sz w:val="18"/>
                <w:szCs w:val="18"/>
                <w:vertAlign w:val="superscript"/>
              </w:rPr>
              <w:t>-1</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EN103</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Odporność na szok termiczny</w:t>
            </w:r>
            <w:r w:rsidRPr="00A76D94">
              <w:rPr>
                <w:rFonts w:cs="Calibri"/>
                <w:bCs/>
                <w:sz w:val="18"/>
                <w:szCs w:val="18"/>
              </w:rPr>
              <w:tab/>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wymagana</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 104</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Odporność na pęknięcia włoskowate</w:t>
            </w:r>
            <w:r w:rsidRPr="00A76D94">
              <w:rPr>
                <w:rFonts w:cs="Calibri"/>
                <w:bCs/>
                <w:sz w:val="18"/>
                <w:szCs w:val="18"/>
              </w:rPr>
              <w:tab/>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wymagana</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EN105</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Mrozoodporność</w:t>
            </w:r>
            <w:r w:rsidRPr="00A76D94">
              <w:rPr>
                <w:rFonts w:cs="Calibri"/>
                <w:bCs/>
                <w:sz w:val="18"/>
                <w:szCs w:val="18"/>
              </w:rPr>
              <w:tab/>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wymagana</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EN202</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
                <w:bCs/>
                <w:sz w:val="18"/>
                <w:szCs w:val="18"/>
              </w:rPr>
            </w:pPr>
            <w:r w:rsidRPr="00A76D94">
              <w:rPr>
                <w:rFonts w:cs="Calibri"/>
                <w:b/>
                <w:bCs/>
                <w:sz w:val="18"/>
                <w:szCs w:val="18"/>
              </w:rPr>
              <w:t>3.Właściwości chemiczne</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Odporność na plamienie</w:t>
            </w:r>
            <w:r w:rsidRPr="00A76D94">
              <w:rPr>
                <w:rFonts w:cs="Calibri"/>
                <w:bCs/>
                <w:sz w:val="18"/>
                <w:szCs w:val="18"/>
              </w:rPr>
              <w:tab/>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wymagana</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EN122</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Odporność na działanie chemikaliów domowego użytku, za wyjątkiem środków czyszczących zawierających kwas fluorowodorowy i jego sole</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wymagana</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EN106</w:t>
            </w:r>
          </w:p>
        </w:tc>
      </w:tr>
      <w:tr w:rsidR="00A76D94" w:rsidRPr="00A76D94" w:rsidTr="00A76D94">
        <w:trPr>
          <w:cantSplit/>
        </w:trPr>
        <w:tc>
          <w:tcPr>
            <w:tcW w:w="502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odporność na działanie kwasów i zasad (z wyjątkiem kwasu fluorowodorowego i jego soli)</w:t>
            </w:r>
          </w:p>
        </w:tc>
        <w:tc>
          <w:tcPr>
            <w:tcW w:w="2287" w:type="dxa"/>
            <w:tcBorders>
              <w:left w:val="single" w:sz="6" w:space="0" w:color="000000"/>
              <w:bottom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wymagana</w:t>
            </w:r>
          </w:p>
        </w:tc>
        <w:tc>
          <w:tcPr>
            <w:tcW w:w="2046" w:type="dxa"/>
            <w:tcBorders>
              <w:left w:val="single" w:sz="6" w:space="0" w:color="000000"/>
              <w:bottom w:val="single" w:sz="6" w:space="0" w:color="000000"/>
              <w:right w:val="single" w:sz="6" w:space="0" w:color="000000"/>
            </w:tcBorders>
          </w:tcPr>
          <w:p w:rsidR="00A76D94" w:rsidRPr="00A76D94" w:rsidRDefault="00A76D94" w:rsidP="00A76D94">
            <w:pPr>
              <w:spacing w:after="0"/>
              <w:rPr>
                <w:rFonts w:cs="Calibri"/>
                <w:bCs/>
                <w:sz w:val="18"/>
                <w:szCs w:val="18"/>
              </w:rPr>
            </w:pPr>
            <w:r w:rsidRPr="00A76D94">
              <w:rPr>
                <w:rFonts w:cs="Calibri"/>
                <w:bCs/>
                <w:sz w:val="18"/>
                <w:szCs w:val="18"/>
              </w:rPr>
              <w:t>EN106</w:t>
            </w:r>
          </w:p>
        </w:tc>
      </w:tr>
    </w:tbl>
    <w:p w:rsidR="00A76D94" w:rsidRPr="00A76D94" w:rsidRDefault="00A76D94" w:rsidP="00A76D94">
      <w:pPr>
        <w:spacing w:after="0"/>
        <w:jc w:val="both"/>
        <w:rPr>
          <w:rFonts w:cs="Calibri"/>
          <w:b/>
          <w:bCs/>
        </w:rPr>
      </w:pPr>
    </w:p>
    <w:p w:rsidR="00A76D94" w:rsidRPr="00A76D94" w:rsidRDefault="00A76D94" w:rsidP="0060138A">
      <w:pPr>
        <w:pStyle w:val="Akapitzlist"/>
        <w:numPr>
          <w:ilvl w:val="0"/>
          <w:numId w:val="18"/>
        </w:numPr>
        <w:spacing w:after="0"/>
        <w:jc w:val="both"/>
        <w:rPr>
          <w:rFonts w:cs="Calibri"/>
          <w:b/>
          <w:bCs/>
        </w:rPr>
      </w:pPr>
      <w:r w:rsidRPr="00A76D94">
        <w:rPr>
          <w:rFonts w:cs="Calibri"/>
          <w:b/>
          <w:bCs/>
        </w:rPr>
        <w:t>OBMIAR ROBÓT</w:t>
      </w:r>
    </w:p>
    <w:p w:rsidR="00A76D94" w:rsidRPr="00A76D94" w:rsidRDefault="00A76D94" w:rsidP="0060138A">
      <w:pPr>
        <w:pStyle w:val="Akapitzlist"/>
        <w:numPr>
          <w:ilvl w:val="1"/>
          <w:numId w:val="18"/>
        </w:numPr>
        <w:spacing w:after="0"/>
        <w:jc w:val="both"/>
        <w:rPr>
          <w:rFonts w:cs="Calibri"/>
          <w:b/>
          <w:bCs/>
        </w:rPr>
      </w:pPr>
      <w:r w:rsidRPr="00A76D94">
        <w:rPr>
          <w:rFonts w:cs="Calibri"/>
          <w:b/>
          <w:bCs/>
        </w:rPr>
        <w:t>Ogólne zasady obmiaru robót</w:t>
      </w:r>
    </w:p>
    <w:p w:rsidR="00A76D94" w:rsidRPr="00A76D94" w:rsidRDefault="00A76D94" w:rsidP="00A76D94">
      <w:pPr>
        <w:spacing w:after="0"/>
        <w:jc w:val="both"/>
        <w:rPr>
          <w:rFonts w:cs="Calibri"/>
          <w:bCs/>
        </w:rPr>
      </w:pPr>
      <w:r w:rsidRPr="00A76D94">
        <w:rPr>
          <w:rFonts w:cs="Calibri"/>
          <w:bCs/>
        </w:rPr>
        <w:t xml:space="preserve"> Ogólne zasady obmiaru robót podano w „Wymaganiach ogólnych”.</w:t>
      </w:r>
    </w:p>
    <w:p w:rsidR="00A76D94" w:rsidRPr="00A76D94" w:rsidRDefault="00A76D94" w:rsidP="0060138A">
      <w:pPr>
        <w:pStyle w:val="Akapitzlist"/>
        <w:numPr>
          <w:ilvl w:val="1"/>
          <w:numId w:val="18"/>
        </w:numPr>
        <w:spacing w:after="0"/>
        <w:jc w:val="both"/>
        <w:rPr>
          <w:rFonts w:cs="Calibri"/>
          <w:b/>
          <w:bCs/>
        </w:rPr>
      </w:pPr>
      <w:r w:rsidRPr="00A76D94">
        <w:rPr>
          <w:rFonts w:cs="Calibri"/>
          <w:b/>
          <w:bCs/>
        </w:rPr>
        <w:t>Jednostka obmiarowa</w:t>
      </w:r>
    </w:p>
    <w:p w:rsidR="00A76D94" w:rsidRPr="00A76D94" w:rsidRDefault="00A76D94" w:rsidP="00A76D94">
      <w:pPr>
        <w:spacing w:after="0"/>
        <w:jc w:val="both"/>
        <w:rPr>
          <w:rFonts w:cs="Calibri"/>
          <w:bCs/>
        </w:rPr>
      </w:pPr>
      <w:r w:rsidRPr="00A76D94">
        <w:rPr>
          <w:rFonts w:cs="Calibri"/>
          <w:bCs/>
        </w:rPr>
        <w:t>Jednostką obmiarową jest:</w:t>
      </w:r>
    </w:p>
    <w:p w:rsidR="00A76D94" w:rsidRPr="00A76D94" w:rsidRDefault="00A76D94" w:rsidP="00A76D94">
      <w:pPr>
        <w:spacing w:after="0"/>
        <w:jc w:val="both"/>
        <w:rPr>
          <w:rFonts w:cs="Calibri"/>
          <w:bCs/>
        </w:rPr>
      </w:pPr>
      <w:r w:rsidRPr="00A76D94">
        <w:rPr>
          <w:rFonts w:cs="Calibri"/>
          <w:bCs/>
        </w:rPr>
        <w:t>- jeden metr kwadratowy powierzchni wykonanych okładzin</w:t>
      </w:r>
    </w:p>
    <w:p w:rsidR="00A76D94" w:rsidRPr="00A76D94" w:rsidRDefault="00A76D94" w:rsidP="00A76D94">
      <w:pPr>
        <w:spacing w:after="0"/>
        <w:jc w:val="both"/>
        <w:rPr>
          <w:rFonts w:cs="Calibri"/>
          <w:bCs/>
        </w:rPr>
      </w:pPr>
      <w:r w:rsidRPr="00A76D94">
        <w:rPr>
          <w:rFonts w:cs="Calibri"/>
          <w:bCs/>
        </w:rPr>
        <w:t>- jeden metr bieżący wykonanych cokolików</w:t>
      </w:r>
    </w:p>
    <w:p w:rsidR="00A76D94" w:rsidRPr="00A76D94" w:rsidRDefault="00A76D94" w:rsidP="0060138A">
      <w:pPr>
        <w:pStyle w:val="Akapitzlist"/>
        <w:numPr>
          <w:ilvl w:val="0"/>
          <w:numId w:val="18"/>
        </w:numPr>
        <w:spacing w:after="0"/>
        <w:jc w:val="both"/>
        <w:rPr>
          <w:rFonts w:cs="Calibri"/>
          <w:b/>
          <w:bCs/>
        </w:rPr>
      </w:pPr>
      <w:r w:rsidRPr="00A76D94">
        <w:rPr>
          <w:rFonts w:cs="Calibri"/>
          <w:b/>
          <w:bCs/>
        </w:rPr>
        <w:t xml:space="preserve">ODBIÓR ROBÓT </w:t>
      </w:r>
    </w:p>
    <w:p w:rsidR="00A76D94" w:rsidRPr="00A76D94" w:rsidRDefault="00A76D94" w:rsidP="0060138A">
      <w:pPr>
        <w:pStyle w:val="Akapitzlist"/>
        <w:numPr>
          <w:ilvl w:val="1"/>
          <w:numId w:val="18"/>
        </w:numPr>
        <w:spacing w:after="0"/>
        <w:jc w:val="both"/>
        <w:rPr>
          <w:rFonts w:cs="Calibri"/>
          <w:b/>
          <w:bCs/>
        </w:rPr>
      </w:pPr>
      <w:r w:rsidRPr="00A76D94">
        <w:rPr>
          <w:rFonts w:cs="Calibri"/>
          <w:b/>
          <w:bCs/>
        </w:rPr>
        <w:t xml:space="preserve">Ogólne zasady odbioru robót </w:t>
      </w:r>
    </w:p>
    <w:p w:rsidR="00A76D94" w:rsidRPr="00A76D94" w:rsidRDefault="00A76D94" w:rsidP="00A76D94">
      <w:pPr>
        <w:spacing w:after="0"/>
        <w:jc w:val="both"/>
        <w:rPr>
          <w:rFonts w:cs="Calibri"/>
          <w:bCs/>
        </w:rPr>
      </w:pPr>
      <w:r w:rsidRPr="00A76D94">
        <w:rPr>
          <w:rFonts w:cs="Calibri"/>
          <w:bCs/>
        </w:rPr>
        <w:t>Ogólne zasady odbioru robót podano w „Wymaganiach ogólnych”.</w:t>
      </w:r>
    </w:p>
    <w:p w:rsidR="00A76D94" w:rsidRPr="00A76D94" w:rsidRDefault="00A76D94" w:rsidP="0060138A">
      <w:pPr>
        <w:pStyle w:val="Akapitzlist"/>
        <w:numPr>
          <w:ilvl w:val="1"/>
          <w:numId w:val="18"/>
        </w:numPr>
        <w:spacing w:after="0"/>
        <w:jc w:val="both"/>
        <w:rPr>
          <w:rFonts w:cs="Calibri"/>
          <w:b/>
          <w:bCs/>
        </w:rPr>
      </w:pPr>
      <w:r w:rsidRPr="00A76D94">
        <w:rPr>
          <w:rFonts w:cs="Calibri"/>
          <w:b/>
          <w:bCs/>
        </w:rPr>
        <w:t>Zgodność robót z dokumentacją projektową i specyfikacją techniczną</w:t>
      </w:r>
    </w:p>
    <w:p w:rsidR="00A76D94" w:rsidRPr="00A76D94" w:rsidRDefault="00A76D94" w:rsidP="00A76D94">
      <w:pPr>
        <w:spacing w:after="0"/>
        <w:jc w:val="both"/>
        <w:rPr>
          <w:rFonts w:cs="Calibri"/>
          <w:bCs/>
        </w:rPr>
      </w:pPr>
      <w:r w:rsidRPr="00A76D94">
        <w:rPr>
          <w:rFonts w:cs="Calibri"/>
          <w:bCs/>
        </w:rPr>
        <w:t>Roboty powinny być wykonane zgodnie z dokumentacją projektową i specyfikacją techniczną oraz pisemnymi poleceniami inspektora nadzoru. Odbiór powinien być przeprowadzony w następujących fazach robót:</w:t>
      </w:r>
    </w:p>
    <w:p w:rsidR="00A76D94" w:rsidRPr="00A76D94" w:rsidRDefault="00A76D94" w:rsidP="00A76D94">
      <w:pPr>
        <w:spacing w:after="0"/>
        <w:jc w:val="both"/>
        <w:rPr>
          <w:rFonts w:cs="Calibri"/>
          <w:bCs/>
        </w:rPr>
      </w:pPr>
      <w:r w:rsidRPr="00A76D94">
        <w:rPr>
          <w:rFonts w:cs="Calibri"/>
          <w:b/>
          <w:bCs/>
        </w:rPr>
        <w:t>- po dostarczeniu na budowę materiałów:</w:t>
      </w:r>
    </w:p>
    <w:p w:rsidR="00A76D94" w:rsidRPr="00A76D94" w:rsidRDefault="00A76D94" w:rsidP="00A76D94">
      <w:pPr>
        <w:spacing w:after="0"/>
        <w:jc w:val="both"/>
        <w:rPr>
          <w:rFonts w:cs="Calibri"/>
          <w:bCs/>
        </w:rPr>
      </w:pPr>
      <w:r w:rsidRPr="00A76D94">
        <w:rPr>
          <w:rFonts w:cs="Calibri"/>
          <w:bCs/>
        </w:rPr>
        <w:t>wymagana jakość materiałów powinna być potwierdzona przez producenta odpowiednimi dokumentami , odbiór materiałów powinien obejmować sprawdzenie zgodności dostarczonych materiałów z dokumentacją projektową</w:t>
      </w:r>
    </w:p>
    <w:p w:rsidR="00A76D94" w:rsidRPr="00A76D94" w:rsidRDefault="00A76D94" w:rsidP="00A76D94">
      <w:pPr>
        <w:spacing w:after="0"/>
        <w:jc w:val="both"/>
        <w:rPr>
          <w:rFonts w:cs="Calibri"/>
          <w:b/>
          <w:bCs/>
        </w:rPr>
      </w:pPr>
      <w:r w:rsidRPr="00A76D94">
        <w:rPr>
          <w:rFonts w:cs="Calibri"/>
          <w:b/>
          <w:bCs/>
        </w:rPr>
        <w:t>-po przygotowaniu podłoża:</w:t>
      </w:r>
    </w:p>
    <w:p w:rsidR="00A76D94" w:rsidRPr="00A76D94" w:rsidRDefault="00A76D94" w:rsidP="00A76D94">
      <w:pPr>
        <w:spacing w:after="0"/>
        <w:jc w:val="both"/>
        <w:rPr>
          <w:rFonts w:cs="Calibri"/>
          <w:bCs/>
        </w:rPr>
      </w:pPr>
      <w:r w:rsidRPr="00A76D94">
        <w:rPr>
          <w:rFonts w:cs="Calibri"/>
          <w:bCs/>
        </w:rPr>
        <w:t xml:space="preserve">sprawdzenie wytrzymałości, równości, czystości podłoża, </w:t>
      </w:r>
    </w:p>
    <w:p w:rsidR="00A76D94" w:rsidRPr="00A76D94" w:rsidRDefault="00A76D94" w:rsidP="00A76D94">
      <w:pPr>
        <w:spacing w:after="0"/>
        <w:jc w:val="both"/>
        <w:rPr>
          <w:rFonts w:cs="Calibri"/>
          <w:b/>
          <w:bCs/>
        </w:rPr>
      </w:pPr>
      <w:r w:rsidRPr="00A76D94">
        <w:rPr>
          <w:rFonts w:cs="Calibri"/>
          <w:bCs/>
        </w:rPr>
        <w:lastRenderedPageBreak/>
        <w:t>-</w:t>
      </w:r>
      <w:r w:rsidRPr="00A76D94">
        <w:rPr>
          <w:rFonts w:cs="Calibri"/>
          <w:b/>
          <w:bCs/>
        </w:rPr>
        <w:t>po wykonaniu warstwy :</w:t>
      </w:r>
    </w:p>
    <w:p w:rsidR="00A76D94" w:rsidRPr="00A76D94" w:rsidRDefault="00A76D94" w:rsidP="00A76D94">
      <w:pPr>
        <w:spacing w:after="0"/>
        <w:jc w:val="both"/>
        <w:rPr>
          <w:rFonts w:cs="Calibri"/>
          <w:bCs/>
        </w:rPr>
      </w:pPr>
      <w:r w:rsidRPr="00A76D94">
        <w:rPr>
          <w:rFonts w:cs="Calibri"/>
          <w:bCs/>
        </w:rPr>
        <w:t xml:space="preserve">sprawdzenie poprawności i dokładności wykonania powierzchni </w:t>
      </w:r>
    </w:p>
    <w:p w:rsidR="00A76D94" w:rsidRPr="00A76D94" w:rsidRDefault="00A76D94" w:rsidP="00A76D94">
      <w:pPr>
        <w:spacing w:after="0"/>
        <w:jc w:val="both"/>
        <w:rPr>
          <w:rFonts w:cs="Calibri"/>
          <w:b/>
          <w:bCs/>
        </w:rPr>
      </w:pPr>
      <w:r w:rsidRPr="00A76D94">
        <w:rPr>
          <w:rFonts w:cs="Calibri"/>
          <w:b/>
          <w:bCs/>
        </w:rPr>
        <w:t>Do odbioru robót wykonawca przedstawia:</w:t>
      </w:r>
    </w:p>
    <w:p w:rsidR="00A76D94" w:rsidRPr="00A76D94" w:rsidRDefault="00A76D94" w:rsidP="00A76D94">
      <w:pPr>
        <w:spacing w:after="0"/>
        <w:jc w:val="both"/>
        <w:rPr>
          <w:rFonts w:cs="Calibri"/>
          <w:bCs/>
        </w:rPr>
      </w:pPr>
      <w:r w:rsidRPr="00A76D94">
        <w:rPr>
          <w:rFonts w:cs="Calibri"/>
          <w:bCs/>
        </w:rPr>
        <w:t>- zaświadczenia jakości materiałów</w:t>
      </w:r>
    </w:p>
    <w:p w:rsidR="00A76D94" w:rsidRPr="00A76D94" w:rsidRDefault="00A76D94" w:rsidP="00A76D94">
      <w:pPr>
        <w:spacing w:after="0"/>
        <w:jc w:val="both"/>
        <w:rPr>
          <w:rFonts w:cs="Calibri"/>
          <w:bCs/>
        </w:rPr>
      </w:pPr>
      <w:r w:rsidRPr="00A76D94">
        <w:rPr>
          <w:rFonts w:cs="Calibri"/>
          <w:bCs/>
        </w:rPr>
        <w:t>- protokoły odbiorów częściowych</w:t>
      </w:r>
    </w:p>
    <w:p w:rsidR="00A76D94" w:rsidRPr="00A76D94" w:rsidRDefault="00A76D94" w:rsidP="00A76D94">
      <w:pPr>
        <w:spacing w:after="0"/>
        <w:jc w:val="both"/>
        <w:rPr>
          <w:rFonts w:cs="Calibri"/>
          <w:bCs/>
        </w:rPr>
      </w:pPr>
      <w:r w:rsidRPr="00A76D94">
        <w:rPr>
          <w:rFonts w:cs="Calibri"/>
          <w:bCs/>
        </w:rPr>
        <w:t xml:space="preserve">- zapisy w dzienniku budowy </w:t>
      </w:r>
    </w:p>
    <w:p w:rsidR="00DA7928" w:rsidRDefault="00DA7928" w:rsidP="00955831">
      <w:pPr>
        <w:spacing w:after="0"/>
        <w:jc w:val="both"/>
        <w:rPr>
          <w:rFonts w:cs="Calibri"/>
          <w:bCs/>
        </w:rPr>
      </w:pPr>
    </w:p>
    <w:p w:rsidR="00307154" w:rsidRPr="0060138A" w:rsidRDefault="00307154" w:rsidP="0060138A">
      <w:pPr>
        <w:pStyle w:val="Akapitzlist"/>
        <w:numPr>
          <w:ilvl w:val="0"/>
          <w:numId w:val="18"/>
        </w:numPr>
        <w:spacing w:after="0"/>
        <w:jc w:val="both"/>
        <w:rPr>
          <w:rFonts w:cs="Calibri"/>
          <w:b/>
          <w:bCs/>
        </w:rPr>
      </w:pPr>
      <w:r w:rsidRPr="0060138A">
        <w:rPr>
          <w:rFonts w:cs="Calibri"/>
          <w:b/>
          <w:bC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7A4390">
      <w:pPr>
        <w:numPr>
          <w:ilvl w:val="0"/>
          <w:numId w:val="28"/>
        </w:numPr>
        <w:spacing w:after="0"/>
        <w:jc w:val="both"/>
        <w:rPr>
          <w:rFonts w:cs="Calibri"/>
          <w:bCs/>
        </w:rPr>
      </w:pPr>
      <w:r w:rsidRPr="005E7EE0">
        <w:rPr>
          <w:rFonts w:cs="Calibri"/>
          <w:bCs/>
        </w:rPr>
        <w:t>Specyfikacja Istotnych Warunków Zamówienia dla przedmiotowego zadania,</w:t>
      </w:r>
    </w:p>
    <w:p w:rsidR="00307154" w:rsidRPr="005E7EE0" w:rsidRDefault="00307154" w:rsidP="007A4390">
      <w:pPr>
        <w:numPr>
          <w:ilvl w:val="0"/>
          <w:numId w:val="28"/>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7A4390">
      <w:pPr>
        <w:numPr>
          <w:ilvl w:val="0"/>
          <w:numId w:val="28"/>
        </w:numPr>
        <w:spacing w:after="0"/>
        <w:jc w:val="both"/>
        <w:rPr>
          <w:rFonts w:cs="Calibri"/>
          <w:bCs/>
        </w:rPr>
      </w:pPr>
      <w:r w:rsidRPr="005E7EE0">
        <w:rPr>
          <w:rFonts w:cs="Calibri"/>
          <w:bCs/>
        </w:rPr>
        <w:t>zatwierdzona przez Zamawiającego dokumentacja wykonawcza ww. zadania</w:t>
      </w:r>
    </w:p>
    <w:p w:rsidR="00307154" w:rsidRPr="005E7EE0" w:rsidRDefault="00307154" w:rsidP="007A4390">
      <w:pPr>
        <w:numPr>
          <w:ilvl w:val="0"/>
          <w:numId w:val="28"/>
        </w:numPr>
        <w:spacing w:after="0"/>
        <w:jc w:val="both"/>
        <w:rPr>
          <w:rFonts w:cs="Calibri"/>
          <w:bCs/>
        </w:rPr>
      </w:pPr>
      <w:r w:rsidRPr="005E7EE0">
        <w:rPr>
          <w:rFonts w:cs="Calibri"/>
          <w:bCs/>
        </w:rPr>
        <w:t>normy</w:t>
      </w:r>
    </w:p>
    <w:p w:rsidR="00307154" w:rsidRPr="005E7EE0" w:rsidRDefault="00307154" w:rsidP="007A4390">
      <w:pPr>
        <w:numPr>
          <w:ilvl w:val="0"/>
          <w:numId w:val="28"/>
        </w:numPr>
        <w:spacing w:after="0"/>
        <w:jc w:val="both"/>
        <w:rPr>
          <w:rFonts w:cs="Calibri"/>
          <w:bCs/>
        </w:rPr>
      </w:pPr>
      <w:r w:rsidRPr="005E7EE0">
        <w:rPr>
          <w:rFonts w:cs="Calibri"/>
          <w:bCs/>
        </w:rPr>
        <w:t>aprobaty techniczne</w:t>
      </w:r>
    </w:p>
    <w:p w:rsidR="00307154" w:rsidRPr="005E7EE0" w:rsidRDefault="00307154" w:rsidP="007A4390">
      <w:pPr>
        <w:numPr>
          <w:ilvl w:val="0"/>
          <w:numId w:val="28"/>
        </w:numPr>
        <w:spacing w:after="0"/>
        <w:jc w:val="both"/>
        <w:rPr>
          <w:rFonts w:cs="Calibri"/>
          <w:bCs/>
        </w:rPr>
      </w:pPr>
      <w:r w:rsidRPr="005E7EE0">
        <w:rPr>
          <w:rFonts w:cs="Calibri"/>
          <w:bCs/>
        </w:rPr>
        <w:t>inne dokumenty i ustalenia techniczne prowadzone w trakcie trwania inwestycji.</w:t>
      </w:r>
    </w:p>
    <w:p w:rsidR="00C13037" w:rsidRPr="005E7EE0" w:rsidRDefault="00C13037" w:rsidP="00C13037">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DA7310" w:rsidRPr="00DA7310" w:rsidRDefault="00DA7310" w:rsidP="00DA7310">
      <w:pPr>
        <w:spacing w:after="0"/>
        <w:jc w:val="both"/>
        <w:rPr>
          <w:rFonts w:cs="Calibri"/>
          <w:bCs/>
        </w:rPr>
      </w:pPr>
      <w:r w:rsidRPr="00DA7310">
        <w:rPr>
          <w:rFonts w:cs="Calibri"/>
          <w:bCs/>
        </w:rPr>
        <w:t>PN-EN 14411:2005 Płytki i płyty ceramiczne. Definicje, klasyfikacja, charakterystyki i znakowanie.</w:t>
      </w:r>
    </w:p>
    <w:p w:rsidR="00DA7310" w:rsidRPr="00DA7310" w:rsidRDefault="00DA7310" w:rsidP="00DA7310">
      <w:pPr>
        <w:spacing w:after="0"/>
        <w:jc w:val="both"/>
        <w:rPr>
          <w:rFonts w:cs="Calibri"/>
          <w:bCs/>
        </w:rPr>
      </w:pPr>
      <w:r w:rsidRPr="00DA7310">
        <w:rPr>
          <w:rFonts w:cs="Calibri"/>
          <w:bCs/>
        </w:rPr>
        <w:t>PN-EN ISO 10 545-1: 1999 Płytki i płyty ceramiczne. Pobieranie próbek i warunki odbioru.</w:t>
      </w:r>
    </w:p>
    <w:p w:rsidR="00DA7310" w:rsidRPr="00DA7310" w:rsidRDefault="00DA7310" w:rsidP="00DA7310">
      <w:pPr>
        <w:spacing w:after="0"/>
        <w:jc w:val="both"/>
        <w:rPr>
          <w:rFonts w:cs="Calibri"/>
          <w:bCs/>
        </w:rPr>
      </w:pPr>
      <w:r w:rsidRPr="00DA7310">
        <w:rPr>
          <w:rFonts w:cs="Calibri"/>
          <w:bCs/>
        </w:rPr>
        <w:t>PN-EN ISO 10 545-2:1999 Płytki i płyty ceramiczne. Oznaczanie wymiarów i sprawdzanie jakości powierzchni.</w:t>
      </w:r>
    </w:p>
    <w:p w:rsidR="00DA7310" w:rsidRPr="00DA7310" w:rsidRDefault="00DA7310" w:rsidP="00DA7310">
      <w:pPr>
        <w:spacing w:after="0"/>
        <w:jc w:val="both"/>
        <w:rPr>
          <w:rFonts w:cs="Calibri"/>
          <w:bCs/>
        </w:rPr>
      </w:pPr>
      <w:r w:rsidRPr="00DA7310">
        <w:rPr>
          <w:rFonts w:cs="Calibri"/>
          <w:bCs/>
        </w:rPr>
        <w:t>PN-EN ISO 10 545-3:1999 Płytki i płyty ceramiczne. Oznaczanie nasiąkliwości wodnej, porowatości otwartej, gęstości względnej pozornej oraz gęstości całkowitej.</w:t>
      </w:r>
    </w:p>
    <w:p w:rsidR="00DA7310" w:rsidRPr="00DA7310" w:rsidRDefault="00DA7310" w:rsidP="00DA7310">
      <w:pPr>
        <w:spacing w:after="0"/>
        <w:jc w:val="both"/>
        <w:rPr>
          <w:rFonts w:cs="Calibri"/>
          <w:bCs/>
        </w:rPr>
      </w:pPr>
      <w:r w:rsidRPr="00DA7310">
        <w:rPr>
          <w:rFonts w:cs="Calibri"/>
          <w:bCs/>
        </w:rPr>
        <w:t>PN-EN ISO 10 545-4:1999 Płytki i płyty ceramiczne. Oznaczanie wytrzymałości na zginanie i siły łamiącej</w:t>
      </w:r>
    </w:p>
    <w:p w:rsidR="00DA7310" w:rsidRPr="00DA7310" w:rsidRDefault="00DA7310" w:rsidP="00DA7310">
      <w:pPr>
        <w:spacing w:after="0"/>
        <w:jc w:val="both"/>
        <w:rPr>
          <w:rFonts w:cs="Calibri"/>
          <w:bCs/>
        </w:rPr>
      </w:pPr>
      <w:r w:rsidRPr="00DA7310">
        <w:rPr>
          <w:rFonts w:cs="Calibri"/>
          <w:bCs/>
        </w:rPr>
        <w:t>PN-EN ISO 10 545-5:1999 Płytki i płyty ceramiczne. Oznaczanie odporności na uderzenie metodą</w:t>
      </w:r>
      <w:r>
        <w:rPr>
          <w:rFonts w:cs="Calibri"/>
          <w:bCs/>
        </w:rPr>
        <w:t xml:space="preserve"> </w:t>
      </w:r>
      <w:r w:rsidRPr="00DA7310">
        <w:rPr>
          <w:rFonts w:cs="Calibri"/>
          <w:bCs/>
        </w:rPr>
        <w:t>pomiaru współczynnika odbicia.</w:t>
      </w:r>
    </w:p>
    <w:p w:rsidR="00DA7310" w:rsidRPr="00DA7310" w:rsidRDefault="00DA7310" w:rsidP="00DA7310">
      <w:pPr>
        <w:spacing w:after="0"/>
        <w:jc w:val="both"/>
        <w:rPr>
          <w:rFonts w:cs="Calibri"/>
          <w:bCs/>
        </w:rPr>
      </w:pPr>
      <w:r w:rsidRPr="00DA7310">
        <w:rPr>
          <w:rFonts w:cs="Calibri"/>
          <w:bCs/>
        </w:rPr>
        <w:t>PN-EN ISO 10 545-6:1999 Płytki i płyty ceramiczne. Oznaczanie odporności na wgłębne ścieranie płytek nieszkliwionych.</w:t>
      </w:r>
    </w:p>
    <w:p w:rsidR="00DA7310" w:rsidRPr="00DA7310" w:rsidRDefault="00DA7310" w:rsidP="00DA7310">
      <w:pPr>
        <w:spacing w:after="0"/>
        <w:jc w:val="both"/>
        <w:rPr>
          <w:rFonts w:cs="Calibri"/>
          <w:bCs/>
        </w:rPr>
      </w:pPr>
      <w:r w:rsidRPr="00DA7310">
        <w:rPr>
          <w:rFonts w:cs="Calibri"/>
          <w:bCs/>
        </w:rPr>
        <w:t>PN-EN ISO 10 545-7:2000 Płytki i płyty ceramiczne. Oznaczanie odporności na ścieranie powierzchni płytek szkliwionych.</w:t>
      </w:r>
    </w:p>
    <w:p w:rsidR="00DA7310" w:rsidRPr="00DA7310" w:rsidRDefault="00DA7310" w:rsidP="00DA7310">
      <w:pPr>
        <w:spacing w:after="0"/>
        <w:jc w:val="both"/>
        <w:rPr>
          <w:rFonts w:cs="Calibri"/>
          <w:bCs/>
        </w:rPr>
      </w:pPr>
      <w:r w:rsidRPr="00DA7310">
        <w:rPr>
          <w:rFonts w:cs="Calibri"/>
          <w:bCs/>
        </w:rPr>
        <w:t xml:space="preserve">PN-EN ISO 10 545-8:1998 Płytki i płyty ceramiczne. Oznaczanie cieplnej rozszerzalności liniowej. </w:t>
      </w:r>
    </w:p>
    <w:p w:rsidR="00DA7310" w:rsidRPr="00DA7310" w:rsidRDefault="00DA7310" w:rsidP="00DA7310">
      <w:pPr>
        <w:spacing w:after="0"/>
        <w:jc w:val="both"/>
        <w:rPr>
          <w:rFonts w:cs="Calibri"/>
          <w:bCs/>
        </w:rPr>
      </w:pPr>
      <w:r w:rsidRPr="00DA7310">
        <w:rPr>
          <w:rFonts w:cs="Calibri"/>
          <w:bCs/>
        </w:rPr>
        <w:t xml:space="preserve">PN-EN ISO 10 545-9:1998 Płytki i płyty ceramiczne. Oznaczanie odporności na szok termiczny. </w:t>
      </w:r>
    </w:p>
    <w:p w:rsidR="00DA7310" w:rsidRPr="00DA7310" w:rsidRDefault="00DA7310" w:rsidP="00DA7310">
      <w:pPr>
        <w:spacing w:after="0"/>
        <w:jc w:val="both"/>
        <w:rPr>
          <w:rFonts w:cs="Calibri"/>
          <w:bCs/>
        </w:rPr>
      </w:pPr>
      <w:r w:rsidRPr="00DA7310">
        <w:rPr>
          <w:rFonts w:cs="Calibri"/>
          <w:bCs/>
        </w:rPr>
        <w:t xml:space="preserve">PN-EN ISO 10 545-10:1999 Płytki i płyty ceramiczne. Oznaczanie rozszerzalności wodnej. </w:t>
      </w:r>
    </w:p>
    <w:p w:rsidR="00DA7310" w:rsidRPr="00DA7310" w:rsidRDefault="00DA7310" w:rsidP="00DA7310">
      <w:pPr>
        <w:spacing w:after="0"/>
        <w:jc w:val="both"/>
        <w:rPr>
          <w:rFonts w:cs="Calibri"/>
          <w:bCs/>
        </w:rPr>
      </w:pPr>
      <w:r w:rsidRPr="00DA7310">
        <w:rPr>
          <w:rFonts w:cs="Calibri"/>
          <w:bCs/>
        </w:rPr>
        <w:t xml:space="preserve">PN-EN ISO 10 545-11:1998 Płytki i płyty ceramiczne. Oznaczanie odporności na pęknięcia włoskowate płytek szkliwionych. </w:t>
      </w:r>
    </w:p>
    <w:p w:rsidR="00DA7310" w:rsidRPr="00DA7310" w:rsidRDefault="00DA7310" w:rsidP="00DA7310">
      <w:pPr>
        <w:spacing w:after="0"/>
        <w:jc w:val="both"/>
        <w:rPr>
          <w:rFonts w:cs="Calibri"/>
          <w:bCs/>
        </w:rPr>
      </w:pPr>
      <w:r w:rsidRPr="00DA7310">
        <w:rPr>
          <w:rFonts w:cs="Calibri"/>
          <w:bCs/>
        </w:rPr>
        <w:t xml:space="preserve">PN-EN ISO 10 545-12:1999 Płytki i płyty ceramiczne. Oznaczanie mrozoodporności. </w:t>
      </w:r>
    </w:p>
    <w:p w:rsidR="00DA7310" w:rsidRPr="00DA7310" w:rsidRDefault="00DA7310" w:rsidP="00DA7310">
      <w:pPr>
        <w:spacing w:after="0"/>
        <w:jc w:val="both"/>
        <w:rPr>
          <w:rFonts w:cs="Calibri"/>
          <w:bCs/>
        </w:rPr>
      </w:pPr>
      <w:r w:rsidRPr="00DA7310">
        <w:rPr>
          <w:rFonts w:cs="Calibri"/>
          <w:bCs/>
        </w:rPr>
        <w:t xml:space="preserve">PN-EN ISO 10 545-13:1999 Płytki i płyty ceramiczne. Oznaczanie odporności chemicznej. </w:t>
      </w:r>
    </w:p>
    <w:p w:rsidR="00DA7310" w:rsidRPr="00DA7310" w:rsidRDefault="00DA7310" w:rsidP="00DA7310">
      <w:pPr>
        <w:spacing w:after="0"/>
        <w:jc w:val="both"/>
        <w:rPr>
          <w:rFonts w:cs="Calibri"/>
          <w:bCs/>
        </w:rPr>
      </w:pPr>
      <w:r w:rsidRPr="00DA7310">
        <w:rPr>
          <w:rFonts w:cs="Calibri"/>
          <w:bCs/>
        </w:rPr>
        <w:t xml:space="preserve">PN-EN ISO 10 545-14:1999 Płytki i płyty ceramiczne. Oznaczanie odporności na plamienie. </w:t>
      </w:r>
    </w:p>
    <w:p w:rsidR="00DA7310" w:rsidRPr="00DA7310" w:rsidRDefault="00DA7310" w:rsidP="00DA7310">
      <w:pPr>
        <w:spacing w:after="0"/>
        <w:jc w:val="both"/>
        <w:rPr>
          <w:rFonts w:cs="Calibri"/>
          <w:bCs/>
        </w:rPr>
      </w:pPr>
      <w:r w:rsidRPr="00DA7310">
        <w:rPr>
          <w:rFonts w:cs="Calibri"/>
          <w:bCs/>
        </w:rPr>
        <w:t xml:space="preserve">PN-EN ISO 10 545-15:1999 Płytki i płyty ceramiczne. Oznaczanie uwalnianego ołowiu i kadmu z płytek szkliwionych. </w:t>
      </w:r>
    </w:p>
    <w:p w:rsidR="00DA7310" w:rsidRPr="00DA7310" w:rsidRDefault="00DA7310" w:rsidP="00DA7310">
      <w:pPr>
        <w:spacing w:after="0"/>
        <w:jc w:val="both"/>
        <w:rPr>
          <w:rFonts w:cs="Calibri"/>
          <w:bCs/>
        </w:rPr>
      </w:pPr>
      <w:r w:rsidRPr="00DA7310">
        <w:rPr>
          <w:rFonts w:cs="Calibri"/>
          <w:bCs/>
        </w:rPr>
        <w:t xml:space="preserve">PN-EN ISO 10 545-16:2001 Płytki i płyty ceramiczne. Oznaczanie małych </w:t>
      </w:r>
      <w:r w:rsidR="00CC07F0" w:rsidRPr="00DA7310">
        <w:rPr>
          <w:rFonts w:cs="Calibri"/>
          <w:bCs/>
        </w:rPr>
        <w:t>różnic</w:t>
      </w:r>
      <w:r w:rsidRPr="00DA7310">
        <w:rPr>
          <w:rFonts w:cs="Calibri"/>
          <w:bCs/>
        </w:rPr>
        <w:t xml:space="preserve"> barwy. </w:t>
      </w:r>
    </w:p>
    <w:p w:rsidR="00DA7310" w:rsidRDefault="00DA7310" w:rsidP="00DA7310">
      <w:pPr>
        <w:spacing w:after="0"/>
        <w:jc w:val="both"/>
        <w:rPr>
          <w:rFonts w:cs="Calibri"/>
          <w:bCs/>
        </w:rPr>
      </w:pPr>
      <w:r w:rsidRPr="00DA7310">
        <w:rPr>
          <w:rFonts w:cs="Calibri"/>
          <w:bCs/>
        </w:rPr>
        <w:t>PN-EN 101:1994 Płytki i płyty ceramiczne. Oznaczanie twardości powierzchniowej wg skali Mohsa</w:t>
      </w:r>
    </w:p>
    <w:p w:rsidR="00CC07F0" w:rsidRPr="00CC07F0" w:rsidRDefault="00CC07F0" w:rsidP="00CC07F0">
      <w:pPr>
        <w:spacing w:after="0"/>
        <w:jc w:val="both"/>
        <w:rPr>
          <w:rFonts w:cs="Calibri"/>
          <w:bCs/>
        </w:rPr>
      </w:pPr>
      <w:r w:rsidRPr="00CC07F0">
        <w:rPr>
          <w:rFonts w:cs="Calibri"/>
          <w:bCs/>
        </w:rPr>
        <w:t>PN-75/B-10121 Okładziny z płytek ściennych ceramicznych szkliwionych. Wymagania i badania przy odbiorze.</w:t>
      </w:r>
    </w:p>
    <w:p w:rsidR="00CC07F0" w:rsidRPr="00CC07F0" w:rsidRDefault="00CC07F0" w:rsidP="00CC07F0">
      <w:pPr>
        <w:spacing w:after="0"/>
        <w:jc w:val="both"/>
        <w:rPr>
          <w:rFonts w:cs="Calibri"/>
          <w:bCs/>
        </w:rPr>
      </w:pPr>
      <w:r w:rsidRPr="00CC07F0">
        <w:rPr>
          <w:rFonts w:cs="Calibri"/>
          <w:bCs/>
        </w:rPr>
        <w:lastRenderedPageBreak/>
        <w:t xml:space="preserve">PN-63/B-10145 Posadzki z płytek kamionkowych (terakotowych), klinkierowych i lastrykowych. Wymagania i badania przy odbiorze </w:t>
      </w:r>
    </w:p>
    <w:p w:rsidR="00DA7310" w:rsidRDefault="00CC07F0" w:rsidP="00CC07F0">
      <w:pPr>
        <w:spacing w:after="0"/>
        <w:jc w:val="both"/>
        <w:rPr>
          <w:rFonts w:cs="Calibri"/>
          <w:bCs/>
        </w:rPr>
      </w:pPr>
      <w:r w:rsidRPr="00CC07F0">
        <w:rPr>
          <w:rFonts w:cs="Calibri"/>
          <w:bCs/>
        </w:rPr>
        <w:t>PN-68/B-10156 Posadzki chemoodporne z płytek i cegieł ceramicznych. Wymagania i badania przy odbiorze</w:t>
      </w:r>
    </w:p>
    <w:p w:rsidR="00F94143" w:rsidRDefault="00F94143" w:rsidP="00F94143">
      <w:pPr>
        <w:spacing w:after="0"/>
        <w:jc w:val="both"/>
        <w:rPr>
          <w:rFonts w:cs="Calibri"/>
          <w:bCs/>
        </w:rPr>
      </w:pPr>
      <w:r>
        <w:rPr>
          <w:rFonts w:cs="Calibri"/>
          <w:bCs/>
        </w:rPr>
        <w:t>Instrukcje uż</w:t>
      </w:r>
      <w:r w:rsidRPr="00F94143">
        <w:rPr>
          <w:rFonts w:cs="Calibri"/>
          <w:bCs/>
        </w:rPr>
        <w:t>ycia i karty techniczne stosowanych wyrobów</w:t>
      </w:r>
    </w:p>
    <w:p w:rsidR="00076408" w:rsidRDefault="00076408" w:rsidP="00076408">
      <w:pPr>
        <w:spacing w:after="0"/>
        <w:jc w:val="both"/>
        <w:rPr>
          <w:rFonts w:cs="Calibri"/>
          <w:bCs/>
        </w:rPr>
      </w:pPr>
    </w:p>
    <w:p w:rsidR="00C13037" w:rsidRPr="00307154" w:rsidRDefault="00C13037" w:rsidP="00C13037">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rsidR="00C13037" w:rsidRPr="00307154" w:rsidRDefault="00C13037" w:rsidP="00C13037">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p w:rsidR="0054386D" w:rsidRDefault="0054386D" w:rsidP="00AC274D">
      <w:pPr>
        <w:spacing w:after="0"/>
        <w:jc w:val="both"/>
        <w:rPr>
          <w:rFonts w:cs="Calibri"/>
          <w:bCs/>
        </w:rPr>
      </w:pP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76C" w:rsidRDefault="007A476C" w:rsidP="00655659">
      <w:pPr>
        <w:spacing w:after="0" w:line="240" w:lineRule="auto"/>
      </w:pPr>
      <w:r>
        <w:separator/>
      </w:r>
    </w:p>
  </w:endnote>
  <w:endnote w:type="continuationSeparator" w:id="0">
    <w:p w:rsidR="007A476C" w:rsidRDefault="007A476C"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1B3AB5" w:rsidRPr="00B42AED">
      <w:rPr>
        <w:sz w:val="18"/>
        <w:szCs w:val="18"/>
      </w:rPr>
      <w:fldChar w:fldCharType="begin"/>
    </w:r>
    <w:r w:rsidRPr="00B42AED">
      <w:rPr>
        <w:sz w:val="18"/>
        <w:szCs w:val="18"/>
      </w:rPr>
      <w:instrText xml:space="preserve"> PAGE   \* MERGEFORMAT </w:instrText>
    </w:r>
    <w:r w:rsidR="001B3AB5" w:rsidRPr="00B42AED">
      <w:rPr>
        <w:sz w:val="18"/>
        <w:szCs w:val="18"/>
      </w:rPr>
      <w:fldChar w:fldCharType="separate"/>
    </w:r>
    <w:r w:rsidR="0078627F">
      <w:rPr>
        <w:noProof/>
        <w:sz w:val="18"/>
        <w:szCs w:val="18"/>
      </w:rPr>
      <w:t>3</w:t>
    </w:r>
    <w:r w:rsidR="001B3AB5" w:rsidRPr="00B42AED">
      <w:rPr>
        <w:sz w:val="18"/>
        <w:szCs w:val="18"/>
      </w:rPr>
      <w:fldChar w:fldCharType="end"/>
    </w:r>
  </w:p>
  <w:p w:rsidR="007C57D7" w:rsidRPr="0052191D" w:rsidRDefault="00B52800" w:rsidP="0052191D">
    <w:pPr>
      <w:pStyle w:val="Stopka"/>
      <w:rPr>
        <w:bCs/>
        <w:sz w:val="18"/>
        <w:szCs w:val="18"/>
      </w:rPr>
    </w:pPr>
    <w:r>
      <w:rPr>
        <w:bCs/>
        <w:sz w:val="18"/>
        <w:szCs w:val="18"/>
      </w:rPr>
      <w:t>Okładziny ścienne</w:t>
    </w:r>
    <w:r w:rsidR="00005E74">
      <w:rPr>
        <w:bCs/>
        <w:sz w:val="18"/>
        <w:szCs w:val="18"/>
      </w:rPr>
      <w:t xml:space="preserve"> – </w:t>
    </w:r>
    <w:r w:rsidR="00005E74" w:rsidRPr="00005E74">
      <w:rPr>
        <w:bCs/>
        <w:sz w:val="18"/>
        <w:szCs w:val="18"/>
      </w:rPr>
      <w:t>ST</w:t>
    </w:r>
    <w:r w:rsidR="00005E74">
      <w:rPr>
        <w:bCs/>
        <w:sz w:val="18"/>
        <w:szCs w:val="18"/>
      </w:rPr>
      <w:t xml:space="preserve"> </w:t>
    </w:r>
    <w:r w:rsidR="00345BA9">
      <w:rPr>
        <w:bCs/>
        <w:sz w:val="18"/>
        <w:szCs w:val="18"/>
      </w:rPr>
      <w:t>01.0</w:t>
    </w:r>
    <w:r w:rsidR="0052191D">
      <w:rPr>
        <w:bCs/>
        <w:sz w:val="18"/>
        <w:szCs w:val="18"/>
      </w:rPr>
      <w:t>8</w:t>
    </w:r>
    <w:r w:rsidR="007C57D7"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76C" w:rsidRDefault="007A476C" w:rsidP="00655659">
      <w:pPr>
        <w:spacing w:after="0" w:line="240" w:lineRule="auto"/>
      </w:pPr>
      <w:r>
        <w:separator/>
      </w:r>
    </w:p>
  </w:footnote>
  <w:footnote w:type="continuationSeparator" w:id="0">
    <w:p w:rsidR="007A476C" w:rsidRDefault="007A476C"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330E1"/>
    <w:multiLevelType w:val="hybridMultilevel"/>
    <w:tmpl w:val="C3A63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E70FD"/>
    <w:multiLevelType w:val="hybridMultilevel"/>
    <w:tmpl w:val="ADCAB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6C2A61"/>
    <w:multiLevelType w:val="hybridMultilevel"/>
    <w:tmpl w:val="04022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9A1805"/>
    <w:multiLevelType w:val="hybridMultilevel"/>
    <w:tmpl w:val="C96A7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C65D4E"/>
    <w:multiLevelType w:val="hybridMultilevel"/>
    <w:tmpl w:val="947CE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3F773A"/>
    <w:multiLevelType w:val="hybridMultilevel"/>
    <w:tmpl w:val="893AD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784E34"/>
    <w:multiLevelType w:val="hybridMultilevel"/>
    <w:tmpl w:val="BAEEB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BF30E6"/>
    <w:multiLevelType w:val="hybridMultilevel"/>
    <w:tmpl w:val="5A04A5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2010ED"/>
    <w:multiLevelType w:val="hybridMultilevel"/>
    <w:tmpl w:val="F1722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5F1A5C"/>
    <w:multiLevelType w:val="multilevel"/>
    <w:tmpl w:val="C1880B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A34F84"/>
    <w:multiLevelType w:val="hybridMultilevel"/>
    <w:tmpl w:val="CA5E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AC0636"/>
    <w:multiLevelType w:val="hybridMultilevel"/>
    <w:tmpl w:val="E452DC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C837C68"/>
    <w:multiLevelType w:val="hybridMultilevel"/>
    <w:tmpl w:val="981E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5458CE"/>
    <w:multiLevelType w:val="hybridMultilevel"/>
    <w:tmpl w:val="2A12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D74FC6"/>
    <w:multiLevelType w:val="hybridMultilevel"/>
    <w:tmpl w:val="C0D89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561EB7"/>
    <w:multiLevelType w:val="hybridMultilevel"/>
    <w:tmpl w:val="FF1C8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87642B"/>
    <w:multiLevelType w:val="hybridMultilevel"/>
    <w:tmpl w:val="8630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1D23ABE"/>
    <w:multiLevelType w:val="hybridMultilevel"/>
    <w:tmpl w:val="A68AA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5B2F88"/>
    <w:multiLevelType w:val="hybridMultilevel"/>
    <w:tmpl w:val="65667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0B0D12"/>
    <w:multiLevelType w:val="multilevel"/>
    <w:tmpl w:val="81CAA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CF20C8B"/>
    <w:multiLevelType w:val="hybridMultilevel"/>
    <w:tmpl w:val="C64A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2EA7123"/>
    <w:multiLevelType w:val="hybridMultilevel"/>
    <w:tmpl w:val="61C4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43C2846"/>
    <w:multiLevelType w:val="hybridMultilevel"/>
    <w:tmpl w:val="89A4B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D854646"/>
    <w:multiLevelType w:val="hybridMultilevel"/>
    <w:tmpl w:val="4AA649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853F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605669"/>
    <w:multiLevelType w:val="hybridMultilevel"/>
    <w:tmpl w:val="67A23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3402867"/>
    <w:multiLevelType w:val="hybridMultilevel"/>
    <w:tmpl w:val="84A2C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73C0875"/>
    <w:multiLevelType w:val="hybridMultilevel"/>
    <w:tmpl w:val="223A6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9C559C0"/>
    <w:multiLevelType w:val="multilevel"/>
    <w:tmpl w:val="1234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A172756"/>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A7A6BD0"/>
    <w:multiLevelType w:val="hybridMultilevel"/>
    <w:tmpl w:val="E9F288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7A7361"/>
    <w:multiLevelType w:val="hybridMultilevel"/>
    <w:tmpl w:val="50205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DD19FD"/>
    <w:multiLevelType w:val="hybridMultilevel"/>
    <w:tmpl w:val="B2781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1697D8B"/>
    <w:multiLevelType w:val="hybridMultilevel"/>
    <w:tmpl w:val="2FB8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1D224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1FD2616"/>
    <w:multiLevelType w:val="hybridMultilevel"/>
    <w:tmpl w:val="9A14A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4A593D"/>
    <w:multiLevelType w:val="hybridMultilevel"/>
    <w:tmpl w:val="0330A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C6315A5"/>
    <w:multiLevelType w:val="hybridMultilevel"/>
    <w:tmpl w:val="77961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CD76C06"/>
    <w:multiLevelType w:val="hybridMultilevel"/>
    <w:tmpl w:val="D9EA9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DF5DA0"/>
    <w:multiLevelType w:val="hybridMultilevel"/>
    <w:tmpl w:val="FE767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0E6740"/>
    <w:multiLevelType w:val="hybridMultilevel"/>
    <w:tmpl w:val="8D08F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34E7F89"/>
    <w:multiLevelType w:val="hybridMultilevel"/>
    <w:tmpl w:val="236C2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4F902AE"/>
    <w:multiLevelType w:val="hybridMultilevel"/>
    <w:tmpl w:val="F80A37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54E35F9"/>
    <w:multiLevelType w:val="hybridMultilevel"/>
    <w:tmpl w:val="AB5EA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6854B24"/>
    <w:multiLevelType w:val="hybridMultilevel"/>
    <w:tmpl w:val="452C1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6DD6AA0"/>
    <w:multiLevelType w:val="hybridMultilevel"/>
    <w:tmpl w:val="12361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6E53A38"/>
    <w:multiLevelType w:val="hybridMultilevel"/>
    <w:tmpl w:val="61F67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8BA6F38"/>
    <w:multiLevelType w:val="hybridMultilevel"/>
    <w:tmpl w:val="2E3C03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8D576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BBD6E6A"/>
    <w:multiLevelType w:val="hybridMultilevel"/>
    <w:tmpl w:val="63B6A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D982540"/>
    <w:multiLevelType w:val="hybridMultilevel"/>
    <w:tmpl w:val="98B03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F5C6D70"/>
    <w:multiLevelType w:val="hybridMultilevel"/>
    <w:tmpl w:val="49546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302A9E"/>
    <w:multiLevelType w:val="hybridMultilevel"/>
    <w:tmpl w:val="A86CB21E"/>
    <w:lvl w:ilvl="0" w:tplc="04150017">
      <w:start w:val="1"/>
      <w:numFmt w:val="lowerLetter"/>
      <w:lvlText w:val="%1)"/>
      <w:lvlJc w:val="left"/>
      <w:pPr>
        <w:ind w:left="720" w:hanging="360"/>
      </w:pPr>
    </w:lvl>
    <w:lvl w:ilvl="1" w:tplc="979CCC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431A37"/>
    <w:multiLevelType w:val="hybridMultilevel"/>
    <w:tmpl w:val="5BC068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7C45A49"/>
    <w:multiLevelType w:val="hybridMultilevel"/>
    <w:tmpl w:val="C60EA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84375CA"/>
    <w:multiLevelType w:val="hybridMultilevel"/>
    <w:tmpl w:val="2E34E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AA54D09"/>
    <w:multiLevelType w:val="hybridMultilevel"/>
    <w:tmpl w:val="168AE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B6F2CAA"/>
    <w:multiLevelType w:val="hybridMultilevel"/>
    <w:tmpl w:val="7CA89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C760AC"/>
    <w:multiLevelType w:val="hybridMultilevel"/>
    <w:tmpl w:val="ECC60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C134070"/>
    <w:multiLevelType w:val="hybridMultilevel"/>
    <w:tmpl w:val="B462C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C784F6A"/>
    <w:multiLevelType w:val="hybridMultilevel"/>
    <w:tmpl w:val="513E0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05488E"/>
    <w:multiLevelType w:val="hybridMultilevel"/>
    <w:tmpl w:val="66D46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FC928F0"/>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52"/>
  </w:num>
  <w:num w:numId="3">
    <w:abstractNumId w:val="26"/>
  </w:num>
  <w:num w:numId="4">
    <w:abstractNumId w:val="44"/>
  </w:num>
  <w:num w:numId="5">
    <w:abstractNumId w:val="43"/>
  </w:num>
  <w:num w:numId="6">
    <w:abstractNumId w:val="13"/>
  </w:num>
  <w:num w:numId="7">
    <w:abstractNumId w:val="4"/>
  </w:num>
  <w:num w:numId="8">
    <w:abstractNumId w:val="27"/>
  </w:num>
  <w:num w:numId="9">
    <w:abstractNumId w:val="56"/>
  </w:num>
  <w:num w:numId="10">
    <w:abstractNumId w:val="21"/>
  </w:num>
  <w:num w:numId="11">
    <w:abstractNumId w:val="47"/>
  </w:num>
  <w:num w:numId="12">
    <w:abstractNumId w:val="50"/>
  </w:num>
  <w:num w:numId="13">
    <w:abstractNumId w:val="9"/>
  </w:num>
  <w:num w:numId="14">
    <w:abstractNumId w:val="37"/>
  </w:num>
  <w:num w:numId="15">
    <w:abstractNumId w:val="55"/>
  </w:num>
  <w:num w:numId="16">
    <w:abstractNumId w:val="2"/>
  </w:num>
  <w:num w:numId="17">
    <w:abstractNumId w:val="20"/>
  </w:num>
  <w:num w:numId="18">
    <w:abstractNumId w:val="24"/>
  </w:num>
  <w:num w:numId="19">
    <w:abstractNumId w:val="25"/>
  </w:num>
  <w:num w:numId="20">
    <w:abstractNumId w:val="61"/>
  </w:num>
  <w:num w:numId="21">
    <w:abstractNumId w:val="60"/>
  </w:num>
  <w:num w:numId="22">
    <w:abstractNumId w:val="65"/>
  </w:num>
  <w:num w:numId="23">
    <w:abstractNumId w:val="0"/>
  </w:num>
  <w:num w:numId="24">
    <w:abstractNumId w:val="66"/>
  </w:num>
  <w:num w:numId="25">
    <w:abstractNumId w:val="3"/>
  </w:num>
  <w:num w:numId="26">
    <w:abstractNumId w:val="14"/>
  </w:num>
  <w:num w:numId="27">
    <w:abstractNumId w:val="6"/>
  </w:num>
  <w:num w:numId="28">
    <w:abstractNumId w:val="15"/>
  </w:num>
  <w:num w:numId="29">
    <w:abstractNumId w:val="5"/>
  </w:num>
  <w:num w:numId="30">
    <w:abstractNumId w:val="63"/>
  </w:num>
  <w:num w:numId="31">
    <w:abstractNumId w:val="35"/>
  </w:num>
  <w:num w:numId="32">
    <w:abstractNumId w:val="11"/>
  </w:num>
  <w:num w:numId="33">
    <w:abstractNumId w:val="46"/>
  </w:num>
  <w:num w:numId="34">
    <w:abstractNumId w:val="17"/>
  </w:num>
  <w:num w:numId="35">
    <w:abstractNumId w:val="45"/>
  </w:num>
  <w:num w:numId="36">
    <w:abstractNumId w:val="34"/>
  </w:num>
  <w:num w:numId="37">
    <w:abstractNumId w:val="64"/>
  </w:num>
  <w:num w:numId="38">
    <w:abstractNumId w:val="49"/>
  </w:num>
  <w:num w:numId="39">
    <w:abstractNumId w:val="22"/>
  </w:num>
  <w:num w:numId="40">
    <w:abstractNumId w:val="32"/>
  </w:num>
  <w:num w:numId="41">
    <w:abstractNumId w:val="53"/>
  </w:num>
  <w:num w:numId="42">
    <w:abstractNumId w:val="12"/>
  </w:num>
  <w:num w:numId="43">
    <w:abstractNumId w:val="48"/>
  </w:num>
  <w:num w:numId="44">
    <w:abstractNumId w:val="18"/>
  </w:num>
  <w:num w:numId="45">
    <w:abstractNumId w:val="57"/>
  </w:num>
  <w:num w:numId="46">
    <w:abstractNumId w:val="39"/>
  </w:num>
  <w:num w:numId="47">
    <w:abstractNumId w:val="10"/>
  </w:num>
  <w:num w:numId="48">
    <w:abstractNumId w:val="42"/>
  </w:num>
  <w:num w:numId="49">
    <w:abstractNumId w:val="31"/>
  </w:num>
  <w:num w:numId="50">
    <w:abstractNumId w:val="67"/>
  </w:num>
  <w:num w:numId="51">
    <w:abstractNumId w:val="23"/>
  </w:num>
  <w:num w:numId="52">
    <w:abstractNumId w:val="54"/>
  </w:num>
  <w:num w:numId="53">
    <w:abstractNumId w:val="58"/>
  </w:num>
  <w:num w:numId="54">
    <w:abstractNumId w:val="28"/>
  </w:num>
  <w:num w:numId="55">
    <w:abstractNumId w:val="33"/>
  </w:num>
  <w:num w:numId="56">
    <w:abstractNumId w:val="62"/>
  </w:num>
  <w:num w:numId="57">
    <w:abstractNumId w:val="51"/>
  </w:num>
  <w:num w:numId="58">
    <w:abstractNumId w:val="30"/>
  </w:num>
  <w:num w:numId="59">
    <w:abstractNumId w:val="29"/>
  </w:num>
  <w:num w:numId="60">
    <w:abstractNumId w:val="41"/>
  </w:num>
  <w:num w:numId="61">
    <w:abstractNumId w:val="8"/>
  </w:num>
  <w:num w:numId="62">
    <w:abstractNumId w:val="38"/>
  </w:num>
  <w:num w:numId="63">
    <w:abstractNumId w:val="16"/>
  </w:num>
  <w:num w:numId="64">
    <w:abstractNumId w:val="7"/>
  </w:num>
  <w:num w:numId="65">
    <w:abstractNumId w:val="19"/>
  </w:num>
  <w:num w:numId="66">
    <w:abstractNumId w:val="59"/>
  </w:num>
  <w:num w:numId="67">
    <w:abstractNumId w:val="40"/>
  </w:num>
  <w:num w:numId="68">
    <w:abstractNumId w:val="3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1B21"/>
    <w:rsid w:val="00004390"/>
    <w:rsid w:val="000047B5"/>
    <w:rsid w:val="00005E74"/>
    <w:rsid w:val="00006CBD"/>
    <w:rsid w:val="00015BB4"/>
    <w:rsid w:val="00024DCD"/>
    <w:rsid w:val="00033BC0"/>
    <w:rsid w:val="00063B9E"/>
    <w:rsid w:val="00064CF3"/>
    <w:rsid w:val="00067CEB"/>
    <w:rsid w:val="00070D32"/>
    <w:rsid w:val="00076408"/>
    <w:rsid w:val="00076E18"/>
    <w:rsid w:val="00085F68"/>
    <w:rsid w:val="00094858"/>
    <w:rsid w:val="000950F9"/>
    <w:rsid w:val="00095915"/>
    <w:rsid w:val="000A0FE2"/>
    <w:rsid w:val="000A1C81"/>
    <w:rsid w:val="000A3FBB"/>
    <w:rsid w:val="000A4F79"/>
    <w:rsid w:val="000A5188"/>
    <w:rsid w:val="000B32B3"/>
    <w:rsid w:val="000B76CC"/>
    <w:rsid w:val="000C1DBF"/>
    <w:rsid w:val="000C352D"/>
    <w:rsid w:val="000C3758"/>
    <w:rsid w:val="000C5CF1"/>
    <w:rsid w:val="000C5D0A"/>
    <w:rsid w:val="000C7AA1"/>
    <w:rsid w:val="000E4CD4"/>
    <w:rsid w:val="000E6DD6"/>
    <w:rsid w:val="000F6455"/>
    <w:rsid w:val="0011454E"/>
    <w:rsid w:val="001158A0"/>
    <w:rsid w:val="001235A8"/>
    <w:rsid w:val="001253DD"/>
    <w:rsid w:val="00137CCE"/>
    <w:rsid w:val="00142D53"/>
    <w:rsid w:val="001441FB"/>
    <w:rsid w:val="00144290"/>
    <w:rsid w:val="00151F79"/>
    <w:rsid w:val="00153C8F"/>
    <w:rsid w:val="00155182"/>
    <w:rsid w:val="00157EAC"/>
    <w:rsid w:val="001600BE"/>
    <w:rsid w:val="0016499A"/>
    <w:rsid w:val="00166E03"/>
    <w:rsid w:val="0017351E"/>
    <w:rsid w:val="0017564F"/>
    <w:rsid w:val="00177C7F"/>
    <w:rsid w:val="0018255C"/>
    <w:rsid w:val="0018283C"/>
    <w:rsid w:val="00186C34"/>
    <w:rsid w:val="001A297A"/>
    <w:rsid w:val="001A6F1D"/>
    <w:rsid w:val="001B1FFC"/>
    <w:rsid w:val="001B3AB5"/>
    <w:rsid w:val="001C6037"/>
    <w:rsid w:val="001C63C9"/>
    <w:rsid w:val="001C7CA9"/>
    <w:rsid w:val="001D248A"/>
    <w:rsid w:val="001D704A"/>
    <w:rsid w:val="001E14DA"/>
    <w:rsid w:val="001E591E"/>
    <w:rsid w:val="001F19D5"/>
    <w:rsid w:val="001F7DD5"/>
    <w:rsid w:val="002001B8"/>
    <w:rsid w:val="00211062"/>
    <w:rsid w:val="002171BD"/>
    <w:rsid w:val="002204B0"/>
    <w:rsid w:val="00253B02"/>
    <w:rsid w:val="0026046B"/>
    <w:rsid w:val="00265BFC"/>
    <w:rsid w:val="00267910"/>
    <w:rsid w:val="00267B27"/>
    <w:rsid w:val="00285AD6"/>
    <w:rsid w:val="0029056C"/>
    <w:rsid w:val="002A0AD7"/>
    <w:rsid w:val="002A184F"/>
    <w:rsid w:val="002A544F"/>
    <w:rsid w:val="002B0681"/>
    <w:rsid w:val="002C07FA"/>
    <w:rsid w:val="002C1D4C"/>
    <w:rsid w:val="002C5584"/>
    <w:rsid w:val="002C590A"/>
    <w:rsid w:val="002C7102"/>
    <w:rsid w:val="002D2DF9"/>
    <w:rsid w:val="002D47C9"/>
    <w:rsid w:val="002D66FA"/>
    <w:rsid w:val="002E0EFE"/>
    <w:rsid w:val="002E392C"/>
    <w:rsid w:val="00301997"/>
    <w:rsid w:val="003070F5"/>
    <w:rsid w:val="00307154"/>
    <w:rsid w:val="00317EC9"/>
    <w:rsid w:val="00320B26"/>
    <w:rsid w:val="003237D3"/>
    <w:rsid w:val="00326547"/>
    <w:rsid w:val="00330ABC"/>
    <w:rsid w:val="0033371B"/>
    <w:rsid w:val="00345BA9"/>
    <w:rsid w:val="00350286"/>
    <w:rsid w:val="003523E1"/>
    <w:rsid w:val="00353F2B"/>
    <w:rsid w:val="00370EA7"/>
    <w:rsid w:val="003934A4"/>
    <w:rsid w:val="003972AF"/>
    <w:rsid w:val="003A0966"/>
    <w:rsid w:val="003B1963"/>
    <w:rsid w:val="003C097C"/>
    <w:rsid w:val="003C616E"/>
    <w:rsid w:val="003C7F45"/>
    <w:rsid w:val="003E718D"/>
    <w:rsid w:val="003F288C"/>
    <w:rsid w:val="003F4A43"/>
    <w:rsid w:val="00404392"/>
    <w:rsid w:val="0040464E"/>
    <w:rsid w:val="00405661"/>
    <w:rsid w:val="00405DC4"/>
    <w:rsid w:val="00411154"/>
    <w:rsid w:val="0041493E"/>
    <w:rsid w:val="0042462C"/>
    <w:rsid w:val="00442373"/>
    <w:rsid w:val="0045733E"/>
    <w:rsid w:val="00466829"/>
    <w:rsid w:val="00472C91"/>
    <w:rsid w:val="0047322C"/>
    <w:rsid w:val="00473BD8"/>
    <w:rsid w:val="00481EC2"/>
    <w:rsid w:val="00487D2B"/>
    <w:rsid w:val="0049630E"/>
    <w:rsid w:val="0049797D"/>
    <w:rsid w:val="004A5B05"/>
    <w:rsid w:val="004B48D7"/>
    <w:rsid w:val="004C4E7E"/>
    <w:rsid w:val="005021CA"/>
    <w:rsid w:val="0052191D"/>
    <w:rsid w:val="00526E4A"/>
    <w:rsid w:val="005309F8"/>
    <w:rsid w:val="00535676"/>
    <w:rsid w:val="0054386D"/>
    <w:rsid w:val="00546D49"/>
    <w:rsid w:val="00547B49"/>
    <w:rsid w:val="00547DC4"/>
    <w:rsid w:val="005516F8"/>
    <w:rsid w:val="005530D2"/>
    <w:rsid w:val="00553614"/>
    <w:rsid w:val="00554265"/>
    <w:rsid w:val="00554BB6"/>
    <w:rsid w:val="005730FB"/>
    <w:rsid w:val="005736CA"/>
    <w:rsid w:val="00590204"/>
    <w:rsid w:val="005928AF"/>
    <w:rsid w:val="005B457C"/>
    <w:rsid w:val="005B6DF4"/>
    <w:rsid w:val="005D7E9B"/>
    <w:rsid w:val="005E03FC"/>
    <w:rsid w:val="005E3A0F"/>
    <w:rsid w:val="005E66F6"/>
    <w:rsid w:val="005E7A61"/>
    <w:rsid w:val="005E7EE0"/>
    <w:rsid w:val="005F0497"/>
    <w:rsid w:val="005F7645"/>
    <w:rsid w:val="0060138A"/>
    <w:rsid w:val="00606ECE"/>
    <w:rsid w:val="00607BD9"/>
    <w:rsid w:val="00615A75"/>
    <w:rsid w:val="006171E4"/>
    <w:rsid w:val="00620299"/>
    <w:rsid w:val="00621EF2"/>
    <w:rsid w:val="0062225D"/>
    <w:rsid w:val="006246A1"/>
    <w:rsid w:val="0063023F"/>
    <w:rsid w:val="00651557"/>
    <w:rsid w:val="006522D7"/>
    <w:rsid w:val="00652555"/>
    <w:rsid w:val="0065513D"/>
    <w:rsid w:val="00655659"/>
    <w:rsid w:val="00656376"/>
    <w:rsid w:val="00682F4F"/>
    <w:rsid w:val="00683F5A"/>
    <w:rsid w:val="00687E6B"/>
    <w:rsid w:val="006924D2"/>
    <w:rsid w:val="006A3F97"/>
    <w:rsid w:val="006B0902"/>
    <w:rsid w:val="006C2B41"/>
    <w:rsid w:val="006C401A"/>
    <w:rsid w:val="006D3AD7"/>
    <w:rsid w:val="006E16FE"/>
    <w:rsid w:val="006E181C"/>
    <w:rsid w:val="006E7C42"/>
    <w:rsid w:val="006F3820"/>
    <w:rsid w:val="006F4696"/>
    <w:rsid w:val="006F6DA5"/>
    <w:rsid w:val="00701DA4"/>
    <w:rsid w:val="00703FA4"/>
    <w:rsid w:val="00710B87"/>
    <w:rsid w:val="00714A78"/>
    <w:rsid w:val="007157FF"/>
    <w:rsid w:val="007322A6"/>
    <w:rsid w:val="00743E7A"/>
    <w:rsid w:val="00744F3B"/>
    <w:rsid w:val="00753888"/>
    <w:rsid w:val="007564C2"/>
    <w:rsid w:val="0076257E"/>
    <w:rsid w:val="007704D9"/>
    <w:rsid w:val="00781B78"/>
    <w:rsid w:val="0078627F"/>
    <w:rsid w:val="00791072"/>
    <w:rsid w:val="007A4390"/>
    <w:rsid w:val="007A476C"/>
    <w:rsid w:val="007A50B9"/>
    <w:rsid w:val="007B3501"/>
    <w:rsid w:val="007B7460"/>
    <w:rsid w:val="007C29B6"/>
    <w:rsid w:val="007C57D7"/>
    <w:rsid w:val="007D125A"/>
    <w:rsid w:val="007D7D96"/>
    <w:rsid w:val="007E0E5F"/>
    <w:rsid w:val="007F4690"/>
    <w:rsid w:val="00802048"/>
    <w:rsid w:val="008079C6"/>
    <w:rsid w:val="008105FE"/>
    <w:rsid w:val="008113ED"/>
    <w:rsid w:val="0081673C"/>
    <w:rsid w:val="00826B3B"/>
    <w:rsid w:val="008341D6"/>
    <w:rsid w:val="00843D12"/>
    <w:rsid w:val="00845133"/>
    <w:rsid w:val="00846F36"/>
    <w:rsid w:val="008505A9"/>
    <w:rsid w:val="00853921"/>
    <w:rsid w:val="00864A20"/>
    <w:rsid w:val="00872E75"/>
    <w:rsid w:val="00895333"/>
    <w:rsid w:val="008A7C37"/>
    <w:rsid w:val="008B205D"/>
    <w:rsid w:val="008C3BB6"/>
    <w:rsid w:val="008C6ED7"/>
    <w:rsid w:val="008E3C73"/>
    <w:rsid w:val="008E4390"/>
    <w:rsid w:val="008F46A2"/>
    <w:rsid w:val="009077FF"/>
    <w:rsid w:val="00907A0E"/>
    <w:rsid w:val="009125E4"/>
    <w:rsid w:val="00912D8A"/>
    <w:rsid w:val="009174D5"/>
    <w:rsid w:val="00927958"/>
    <w:rsid w:val="00931E18"/>
    <w:rsid w:val="00935B55"/>
    <w:rsid w:val="009430E5"/>
    <w:rsid w:val="00944125"/>
    <w:rsid w:val="0094457F"/>
    <w:rsid w:val="00954301"/>
    <w:rsid w:val="00955831"/>
    <w:rsid w:val="00965418"/>
    <w:rsid w:val="00971D77"/>
    <w:rsid w:val="00973142"/>
    <w:rsid w:val="0097394A"/>
    <w:rsid w:val="00975306"/>
    <w:rsid w:val="00976CF7"/>
    <w:rsid w:val="0098262F"/>
    <w:rsid w:val="00983CC7"/>
    <w:rsid w:val="00986526"/>
    <w:rsid w:val="009A3825"/>
    <w:rsid w:val="009B0FCB"/>
    <w:rsid w:val="009B2C1A"/>
    <w:rsid w:val="009C2999"/>
    <w:rsid w:val="009C44C9"/>
    <w:rsid w:val="009D2BF2"/>
    <w:rsid w:val="009D6A87"/>
    <w:rsid w:val="009E4C51"/>
    <w:rsid w:val="009E7CFC"/>
    <w:rsid w:val="009F1B2D"/>
    <w:rsid w:val="00A00F19"/>
    <w:rsid w:val="00A05F47"/>
    <w:rsid w:val="00A07E2D"/>
    <w:rsid w:val="00A160EB"/>
    <w:rsid w:val="00A1644D"/>
    <w:rsid w:val="00A24283"/>
    <w:rsid w:val="00A25CE4"/>
    <w:rsid w:val="00A31ACF"/>
    <w:rsid w:val="00A34618"/>
    <w:rsid w:val="00A347EB"/>
    <w:rsid w:val="00A414CB"/>
    <w:rsid w:val="00A45CE5"/>
    <w:rsid w:val="00A47A48"/>
    <w:rsid w:val="00A60DAF"/>
    <w:rsid w:val="00A658E2"/>
    <w:rsid w:val="00A70914"/>
    <w:rsid w:val="00A76D94"/>
    <w:rsid w:val="00A80C69"/>
    <w:rsid w:val="00A8315C"/>
    <w:rsid w:val="00A94220"/>
    <w:rsid w:val="00A95F67"/>
    <w:rsid w:val="00AA5F79"/>
    <w:rsid w:val="00AA624B"/>
    <w:rsid w:val="00AB0059"/>
    <w:rsid w:val="00AB09A1"/>
    <w:rsid w:val="00AB1097"/>
    <w:rsid w:val="00AB4D97"/>
    <w:rsid w:val="00AC274D"/>
    <w:rsid w:val="00AD5FAA"/>
    <w:rsid w:val="00AF243F"/>
    <w:rsid w:val="00B05B81"/>
    <w:rsid w:val="00B13E85"/>
    <w:rsid w:val="00B15092"/>
    <w:rsid w:val="00B16B5E"/>
    <w:rsid w:val="00B201B2"/>
    <w:rsid w:val="00B20ADB"/>
    <w:rsid w:val="00B20E38"/>
    <w:rsid w:val="00B273A5"/>
    <w:rsid w:val="00B27CF9"/>
    <w:rsid w:val="00B31432"/>
    <w:rsid w:val="00B324EE"/>
    <w:rsid w:val="00B37F20"/>
    <w:rsid w:val="00B41618"/>
    <w:rsid w:val="00B512F9"/>
    <w:rsid w:val="00B52800"/>
    <w:rsid w:val="00B53897"/>
    <w:rsid w:val="00B650AE"/>
    <w:rsid w:val="00B80BFE"/>
    <w:rsid w:val="00B82E65"/>
    <w:rsid w:val="00B84733"/>
    <w:rsid w:val="00B85E2E"/>
    <w:rsid w:val="00B9061D"/>
    <w:rsid w:val="00BA06D9"/>
    <w:rsid w:val="00BA30AA"/>
    <w:rsid w:val="00BA5DA3"/>
    <w:rsid w:val="00BB41FD"/>
    <w:rsid w:val="00BB631A"/>
    <w:rsid w:val="00BC79B6"/>
    <w:rsid w:val="00BE5C3A"/>
    <w:rsid w:val="00C05A16"/>
    <w:rsid w:val="00C13037"/>
    <w:rsid w:val="00C15CBB"/>
    <w:rsid w:val="00C1609B"/>
    <w:rsid w:val="00C22D26"/>
    <w:rsid w:val="00C26ADD"/>
    <w:rsid w:val="00C35765"/>
    <w:rsid w:val="00C403FD"/>
    <w:rsid w:val="00C4081D"/>
    <w:rsid w:val="00C474B6"/>
    <w:rsid w:val="00C7015A"/>
    <w:rsid w:val="00C70DE3"/>
    <w:rsid w:val="00C731F6"/>
    <w:rsid w:val="00C8457F"/>
    <w:rsid w:val="00C85555"/>
    <w:rsid w:val="00C92E46"/>
    <w:rsid w:val="00CB1438"/>
    <w:rsid w:val="00CB59F7"/>
    <w:rsid w:val="00CC07F0"/>
    <w:rsid w:val="00CC4FB2"/>
    <w:rsid w:val="00CC7BCD"/>
    <w:rsid w:val="00CD4624"/>
    <w:rsid w:val="00CE1BB0"/>
    <w:rsid w:val="00CE2EA4"/>
    <w:rsid w:val="00CE4010"/>
    <w:rsid w:val="00CE4201"/>
    <w:rsid w:val="00CE42BF"/>
    <w:rsid w:val="00CF1F23"/>
    <w:rsid w:val="00CF63B0"/>
    <w:rsid w:val="00D03DAA"/>
    <w:rsid w:val="00D10872"/>
    <w:rsid w:val="00D17332"/>
    <w:rsid w:val="00D20AAC"/>
    <w:rsid w:val="00D225BC"/>
    <w:rsid w:val="00D279D6"/>
    <w:rsid w:val="00D345F4"/>
    <w:rsid w:val="00D36824"/>
    <w:rsid w:val="00D52676"/>
    <w:rsid w:val="00D53F66"/>
    <w:rsid w:val="00D55C10"/>
    <w:rsid w:val="00D7791E"/>
    <w:rsid w:val="00D82BA8"/>
    <w:rsid w:val="00DA05DF"/>
    <w:rsid w:val="00DA1FFD"/>
    <w:rsid w:val="00DA69A8"/>
    <w:rsid w:val="00DA7310"/>
    <w:rsid w:val="00DA78F0"/>
    <w:rsid w:val="00DA7928"/>
    <w:rsid w:val="00DB2342"/>
    <w:rsid w:val="00DC6F40"/>
    <w:rsid w:val="00DD163C"/>
    <w:rsid w:val="00DD7D35"/>
    <w:rsid w:val="00DF04BA"/>
    <w:rsid w:val="00E077F9"/>
    <w:rsid w:val="00E10310"/>
    <w:rsid w:val="00E1486B"/>
    <w:rsid w:val="00E168B2"/>
    <w:rsid w:val="00E22B0C"/>
    <w:rsid w:val="00E26FE5"/>
    <w:rsid w:val="00E30025"/>
    <w:rsid w:val="00E316E2"/>
    <w:rsid w:val="00E34CE4"/>
    <w:rsid w:val="00E416D6"/>
    <w:rsid w:val="00E46A79"/>
    <w:rsid w:val="00E47998"/>
    <w:rsid w:val="00E60F37"/>
    <w:rsid w:val="00E72A18"/>
    <w:rsid w:val="00E76041"/>
    <w:rsid w:val="00E81192"/>
    <w:rsid w:val="00E831CF"/>
    <w:rsid w:val="00E90EB1"/>
    <w:rsid w:val="00E94734"/>
    <w:rsid w:val="00EA1516"/>
    <w:rsid w:val="00EA7250"/>
    <w:rsid w:val="00EB290B"/>
    <w:rsid w:val="00EC2B45"/>
    <w:rsid w:val="00EC2F75"/>
    <w:rsid w:val="00ED5C43"/>
    <w:rsid w:val="00EF3BAF"/>
    <w:rsid w:val="00EF7CD5"/>
    <w:rsid w:val="00F11266"/>
    <w:rsid w:val="00F128B5"/>
    <w:rsid w:val="00F23575"/>
    <w:rsid w:val="00F276D1"/>
    <w:rsid w:val="00F329F4"/>
    <w:rsid w:val="00F32D64"/>
    <w:rsid w:val="00F377D6"/>
    <w:rsid w:val="00F40D9C"/>
    <w:rsid w:val="00F42187"/>
    <w:rsid w:val="00F42C5E"/>
    <w:rsid w:val="00F454D9"/>
    <w:rsid w:val="00F65C08"/>
    <w:rsid w:val="00F67181"/>
    <w:rsid w:val="00F67781"/>
    <w:rsid w:val="00F80D2C"/>
    <w:rsid w:val="00F866F3"/>
    <w:rsid w:val="00F86FA9"/>
    <w:rsid w:val="00F9102F"/>
    <w:rsid w:val="00F94143"/>
    <w:rsid w:val="00FA0C80"/>
    <w:rsid w:val="00FA4ADF"/>
    <w:rsid w:val="00FB4009"/>
    <w:rsid w:val="00FC71E4"/>
    <w:rsid w:val="00FD0BD9"/>
    <w:rsid w:val="00FD784F"/>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0D35B6F-0921-4E8E-BB4C-8AE86BE7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60385">
      <w:bodyDiv w:val="1"/>
      <w:marLeft w:val="0"/>
      <w:marRight w:val="0"/>
      <w:marTop w:val="0"/>
      <w:marBottom w:val="0"/>
      <w:divBdr>
        <w:top w:val="none" w:sz="0" w:space="0" w:color="auto"/>
        <w:left w:val="none" w:sz="0" w:space="0" w:color="auto"/>
        <w:bottom w:val="none" w:sz="0" w:space="0" w:color="auto"/>
        <w:right w:val="none" w:sz="0" w:space="0" w:color="auto"/>
      </w:divBdr>
    </w:div>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634799600">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 w:id="173809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EAA23-4E73-4BE3-B2E6-D6646CC7A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3134</Words>
  <Characters>18809</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39</cp:revision>
  <cp:lastPrinted>2012-02-27T14:04:00Z</cp:lastPrinted>
  <dcterms:created xsi:type="dcterms:W3CDTF">2012-08-21T18:53:00Z</dcterms:created>
  <dcterms:modified xsi:type="dcterms:W3CDTF">2018-07-08T18:15:00Z</dcterms:modified>
</cp:coreProperties>
</file>